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C8" w:rsidRPr="003F2B4F" w:rsidRDefault="007F7EC8" w:rsidP="003F2B4F">
      <w:pPr>
        <w:spacing w:after="0" w:line="240" w:lineRule="auto"/>
        <w:jc w:val="both"/>
        <w:rPr>
          <w:rFonts w:ascii="Calibri" w:hAnsi="Calibri"/>
          <w:b/>
          <w:sz w:val="24"/>
          <w:szCs w:val="24"/>
        </w:rPr>
      </w:pPr>
      <w:r w:rsidRPr="003F2B4F">
        <w:rPr>
          <w:rFonts w:ascii="Calibri" w:hAnsi="Calibri"/>
          <w:b/>
          <w:sz w:val="24"/>
          <w:szCs w:val="24"/>
        </w:rPr>
        <w:t>MEDIUM TERM FINANCIAL PLAN</w:t>
      </w:r>
    </w:p>
    <w:p w:rsidR="003F2B4F" w:rsidRDefault="003F2B4F" w:rsidP="003F2B4F">
      <w:pPr>
        <w:spacing w:after="0" w:line="240" w:lineRule="auto"/>
        <w:jc w:val="both"/>
        <w:rPr>
          <w:rFonts w:ascii="Calibri" w:hAnsi="Calibri"/>
          <w:sz w:val="24"/>
          <w:szCs w:val="24"/>
        </w:rPr>
      </w:pPr>
    </w:p>
    <w:p w:rsidR="00ED763E" w:rsidRDefault="00624D71" w:rsidP="003F2B4F">
      <w:pPr>
        <w:spacing w:after="0" w:line="240" w:lineRule="auto"/>
        <w:jc w:val="both"/>
        <w:rPr>
          <w:rFonts w:ascii="Calibri" w:hAnsi="Calibri"/>
          <w:sz w:val="24"/>
          <w:szCs w:val="24"/>
        </w:rPr>
      </w:pPr>
      <w:r w:rsidRPr="003F2B4F">
        <w:rPr>
          <w:rFonts w:ascii="Calibri" w:hAnsi="Calibri"/>
          <w:sz w:val="24"/>
          <w:szCs w:val="24"/>
        </w:rPr>
        <w:t xml:space="preserve">The Medium Term Financial Plan for 2017/18 to 2020/21 was presented to Policy </w:t>
      </w:r>
      <w:r w:rsidR="003F2B4F">
        <w:rPr>
          <w:rFonts w:ascii="Calibri" w:hAnsi="Calibri"/>
          <w:sz w:val="24"/>
          <w:szCs w:val="24"/>
        </w:rPr>
        <w:t>&amp;</w:t>
      </w:r>
      <w:r w:rsidRPr="003F2B4F">
        <w:rPr>
          <w:rFonts w:ascii="Calibri" w:hAnsi="Calibri"/>
          <w:sz w:val="24"/>
          <w:szCs w:val="24"/>
        </w:rPr>
        <w:t xml:space="preserve"> Finance on 29 June 2017. This document seeks</w:t>
      </w:r>
      <w:r w:rsidR="00CC1D5F" w:rsidRPr="003F2B4F">
        <w:rPr>
          <w:rFonts w:ascii="Calibri" w:hAnsi="Calibri"/>
          <w:sz w:val="24"/>
          <w:szCs w:val="24"/>
        </w:rPr>
        <w:t xml:space="preserve"> to</w:t>
      </w:r>
      <w:r w:rsidRPr="003F2B4F">
        <w:rPr>
          <w:rFonts w:ascii="Calibri" w:hAnsi="Calibri"/>
          <w:sz w:val="24"/>
          <w:szCs w:val="24"/>
        </w:rPr>
        <w:t xml:space="preserve"> refresh and provide an update on assumptions for future income, expenditure and financing forecasts for 2019/20 to 2022/23.</w:t>
      </w:r>
    </w:p>
    <w:p w:rsidR="003F2B4F" w:rsidRPr="003F2B4F" w:rsidRDefault="003F2B4F" w:rsidP="003F2B4F">
      <w:pPr>
        <w:spacing w:after="0" w:line="240" w:lineRule="auto"/>
        <w:jc w:val="both"/>
        <w:rPr>
          <w:rFonts w:ascii="Calibri" w:hAnsi="Calibri"/>
          <w:sz w:val="24"/>
          <w:szCs w:val="24"/>
        </w:rPr>
      </w:pPr>
    </w:p>
    <w:p w:rsidR="00820AD0" w:rsidRPr="003F2B4F" w:rsidRDefault="0078035F" w:rsidP="003F2B4F">
      <w:pPr>
        <w:spacing w:after="0" w:line="240" w:lineRule="auto"/>
        <w:ind w:left="709" w:hanging="709"/>
        <w:jc w:val="both"/>
        <w:rPr>
          <w:rFonts w:ascii="Calibri" w:hAnsi="Calibri"/>
          <w:b/>
          <w:sz w:val="24"/>
          <w:szCs w:val="24"/>
          <w:u w:val="single"/>
        </w:rPr>
      </w:pPr>
      <w:r w:rsidRPr="003F2B4F">
        <w:rPr>
          <w:rFonts w:ascii="Calibri" w:hAnsi="Calibri"/>
          <w:b/>
          <w:sz w:val="24"/>
          <w:szCs w:val="24"/>
        </w:rPr>
        <w:t>1.1</w:t>
      </w:r>
      <w:r w:rsidRPr="003F2B4F">
        <w:rPr>
          <w:rFonts w:ascii="Calibri" w:hAnsi="Calibri"/>
          <w:sz w:val="24"/>
          <w:szCs w:val="24"/>
        </w:rPr>
        <w:tab/>
      </w:r>
      <w:r w:rsidR="00820AD0" w:rsidRPr="003F2B4F">
        <w:rPr>
          <w:rFonts w:ascii="Calibri" w:hAnsi="Calibri"/>
          <w:b/>
          <w:sz w:val="24"/>
          <w:szCs w:val="24"/>
          <w:u w:val="single"/>
        </w:rPr>
        <w:t>Financial Projections</w:t>
      </w:r>
    </w:p>
    <w:p w:rsidR="003F2B4F" w:rsidRDefault="003F2B4F" w:rsidP="003F2B4F">
      <w:pPr>
        <w:spacing w:after="0" w:line="240" w:lineRule="auto"/>
        <w:jc w:val="both"/>
        <w:rPr>
          <w:rFonts w:ascii="Calibri" w:hAnsi="Calibri"/>
          <w:sz w:val="24"/>
          <w:szCs w:val="24"/>
        </w:rPr>
      </w:pPr>
    </w:p>
    <w:p w:rsidR="00ED763E" w:rsidRPr="003F2B4F" w:rsidRDefault="00A11A7B" w:rsidP="003F2B4F">
      <w:pPr>
        <w:spacing w:after="0" w:line="240" w:lineRule="auto"/>
        <w:jc w:val="both"/>
        <w:rPr>
          <w:rFonts w:ascii="Calibri" w:hAnsi="Calibri"/>
          <w:sz w:val="24"/>
          <w:szCs w:val="24"/>
        </w:rPr>
      </w:pPr>
      <w:r w:rsidRPr="003F2B4F">
        <w:rPr>
          <w:rFonts w:ascii="Calibri" w:hAnsi="Calibri"/>
          <w:sz w:val="24"/>
          <w:szCs w:val="24"/>
        </w:rPr>
        <w:t xml:space="preserve">High level budget projections have been produced for the next four year period to 2022/23. The table below shows the current position assuming that the Council Tax at average Band D will increase at the same </w:t>
      </w:r>
      <w:r w:rsidR="004E1650" w:rsidRPr="003F2B4F">
        <w:rPr>
          <w:rFonts w:ascii="Calibri" w:hAnsi="Calibri"/>
          <w:sz w:val="24"/>
          <w:szCs w:val="24"/>
        </w:rPr>
        <w:t>rate as for the last three financial years (</w:t>
      </w:r>
      <w:proofErr w:type="spellStart"/>
      <w:r w:rsidR="004E1650" w:rsidRPr="003F2B4F">
        <w:rPr>
          <w:rFonts w:ascii="Calibri" w:hAnsi="Calibri"/>
          <w:sz w:val="24"/>
          <w:szCs w:val="24"/>
        </w:rPr>
        <w:t>i.e</w:t>
      </w:r>
      <w:proofErr w:type="spellEnd"/>
      <w:r w:rsidR="004E1650" w:rsidRPr="003F2B4F">
        <w:rPr>
          <w:rFonts w:ascii="Calibri" w:hAnsi="Calibri"/>
          <w:sz w:val="24"/>
          <w:szCs w:val="24"/>
        </w:rPr>
        <w:t xml:space="preserve"> 1.94%).</w:t>
      </w:r>
    </w:p>
    <w:p w:rsidR="003F2B4F" w:rsidRDefault="003F2B4F" w:rsidP="003F2B4F">
      <w:pPr>
        <w:spacing w:after="0" w:line="240" w:lineRule="auto"/>
        <w:jc w:val="both"/>
        <w:rPr>
          <w:rFonts w:ascii="Calibri" w:hAnsi="Calibri"/>
          <w:sz w:val="24"/>
          <w:szCs w:val="24"/>
        </w:rPr>
      </w:pPr>
    </w:p>
    <w:p w:rsidR="0078035F" w:rsidRPr="003F2B4F" w:rsidRDefault="0078035F" w:rsidP="003F2B4F">
      <w:pPr>
        <w:spacing w:after="0" w:line="240" w:lineRule="auto"/>
        <w:jc w:val="both"/>
        <w:rPr>
          <w:rFonts w:ascii="Calibri" w:hAnsi="Calibri"/>
          <w:sz w:val="24"/>
          <w:szCs w:val="24"/>
        </w:rPr>
      </w:pPr>
      <w:r w:rsidRPr="003F2B4F">
        <w:rPr>
          <w:rFonts w:ascii="Calibri" w:hAnsi="Calibri"/>
          <w:sz w:val="24"/>
          <w:szCs w:val="24"/>
        </w:rPr>
        <w:t>Table 1</w:t>
      </w:r>
    </w:p>
    <w:tbl>
      <w:tblPr>
        <w:tblStyle w:val="TableGrid"/>
        <w:tblW w:w="9781" w:type="dxa"/>
        <w:tblInd w:w="108" w:type="dxa"/>
        <w:tblLook w:val="04A0" w:firstRow="1" w:lastRow="0" w:firstColumn="1" w:lastColumn="0" w:noHBand="0" w:noVBand="1"/>
      </w:tblPr>
      <w:tblGrid>
        <w:gridCol w:w="3686"/>
        <w:gridCol w:w="1523"/>
        <w:gridCol w:w="1524"/>
        <w:gridCol w:w="1524"/>
        <w:gridCol w:w="1524"/>
      </w:tblGrid>
      <w:tr w:rsidR="004E1650" w:rsidRPr="003F2B4F" w:rsidTr="003F2B4F">
        <w:tc>
          <w:tcPr>
            <w:tcW w:w="3686" w:type="dxa"/>
          </w:tcPr>
          <w:p w:rsidR="004E1650" w:rsidRPr="003F2B4F" w:rsidRDefault="004E1650" w:rsidP="003F2B4F">
            <w:pPr>
              <w:jc w:val="both"/>
              <w:rPr>
                <w:rFonts w:ascii="Calibri" w:hAnsi="Calibri"/>
                <w:sz w:val="24"/>
                <w:szCs w:val="24"/>
              </w:rPr>
            </w:pPr>
          </w:p>
        </w:tc>
        <w:tc>
          <w:tcPr>
            <w:tcW w:w="1523" w:type="dxa"/>
          </w:tcPr>
          <w:p w:rsidR="004E1650" w:rsidRPr="003F2B4F" w:rsidRDefault="004E1650" w:rsidP="003F2B4F">
            <w:pPr>
              <w:jc w:val="right"/>
              <w:rPr>
                <w:rFonts w:ascii="Calibri" w:hAnsi="Calibri"/>
                <w:b/>
                <w:sz w:val="24"/>
                <w:szCs w:val="24"/>
              </w:rPr>
            </w:pPr>
            <w:r w:rsidRPr="003F2B4F">
              <w:rPr>
                <w:rFonts w:ascii="Calibri" w:hAnsi="Calibri"/>
                <w:b/>
                <w:sz w:val="24"/>
                <w:szCs w:val="24"/>
              </w:rPr>
              <w:t>2019/20</w:t>
            </w:r>
          </w:p>
          <w:p w:rsidR="004E1650" w:rsidRPr="003F2B4F" w:rsidRDefault="004E1650" w:rsidP="003F2B4F">
            <w:pPr>
              <w:jc w:val="right"/>
              <w:rPr>
                <w:rFonts w:ascii="Calibri" w:hAnsi="Calibri"/>
                <w:b/>
                <w:sz w:val="24"/>
                <w:szCs w:val="24"/>
              </w:rPr>
            </w:pPr>
            <w:r w:rsidRPr="003F2B4F">
              <w:rPr>
                <w:rFonts w:ascii="Calibri" w:hAnsi="Calibri"/>
                <w:b/>
                <w:sz w:val="24"/>
                <w:szCs w:val="24"/>
              </w:rPr>
              <w:t>£000</w:t>
            </w:r>
          </w:p>
        </w:tc>
        <w:tc>
          <w:tcPr>
            <w:tcW w:w="1524" w:type="dxa"/>
          </w:tcPr>
          <w:p w:rsidR="004E1650" w:rsidRPr="003F2B4F" w:rsidRDefault="004E1650" w:rsidP="003F2B4F">
            <w:pPr>
              <w:jc w:val="right"/>
              <w:rPr>
                <w:rFonts w:ascii="Calibri" w:hAnsi="Calibri"/>
                <w:b/>
                <w:sz w:val="24"/>
                <w:szCs w:val="24"/>
              </w:rPr>
            </w:pPr>
            <w:r w:rsidRPr="003F2B4F">
              <w:rPr>
                <w:rFonts w:ascii="Calibri" w:hAnsi="Calibri"/>
                <w:b/>
                <w:sz w:val="24"/>
                <w:szCs w:val="24"/>
              </w:rPr>
              <w:t>2020/21</w:t>
            </w:r>
          </w:p>
          <w:p w:rsidR="004E1650" w:rsidRPr="003F2B4F" w:rsidRDefault="004E1650" w:rsidP="003F2B4F">
            <w:pPr>
              <w:jc w:val="right"/>
              <w:rPr>
                <w:rFonts w:ascii="Calibri" w:hAnsi="Calibri"/>
                <w:b/>
                <w:sz w:val="24"/>
                <w:szCs w:val="24"/>
              </w:rPr>
            </w:pPr>
            <w:r w:rsidRPr="003F2B4F">
              <w:rPr>
                <w:rFonts w:ascii="Calibri" w:hAnsi="Calibri"/>
                <w:b/>
                <w:sz w:val="24"/>
                <w:szCs w:val="24"/>
              </w:rPr>
              <w:t>£000</w:t>
            </w:r>
          </w:p>
        </w:tc>
        <w:tc>
          <w:tcPr>
            <w:tcW w:w="1524" w:type="dxa"/>
          </w:tcPr>
          <w:p w:rsidR="004E1650" w:rsidRPr="003F2B4F" w:rsidRDefault="004E1650" w:rsidP="003F2B4F">
            <w:pPr>
              <w:jc w:val="right"/>
              <w:rPr>
                <w:rFonts w:ascii="Calibri" w:hAnsi="Calibri"/>
                <w:b/>
                <w:sz w:val="24"/>
                <w:szCs w:val="24"/>
              </w:rPr>
            </w:pPr>
            <w:r w:rsidRPr="003F2B4F">
              <w:rPr>
                <w:rFonts w:ascii="Calibri" w:hAnsi="Calibri"/>
                <w:b/>
                <w:sz w:val="24"/>
                <w:szCs w:val="24"/>
              </w:rPr>
              <w:t>2021/22</w:t>
            </w:r>
          </w:p>
          <w:p w:rsidR="004E1650" w:rsidRPr="003F2B4F" w:rsidRDefault="004E1650" w:rsidP="003F2B4F">
            <w:pPr>
              <w:jc w:val="right"/>
              <w:rPr>
                <w:rFonts w:ascii="Calibri" w:hAnsi="Calibri"/>
                <w:b/>
                <w:sz w:val="24"/>
                <w:szCs w:val="24"/>
              </w:rPr>
            </w:pPr>
            <w:r w:rsidRPr="003F2B4F">
              <w:rPr>
                <w:rFonts w:ascii="Calibri" w:hAnsi="Calibri"/>
                <w:b/>
                <w:sz w:val="24"/>
                <w:szCs w:val="24"/>
              </w:rPr>
              <w:t>£000</w:t>
            </w:r>
          </w:p>
        </w:tc>
        <w:tc>
          <w:tcPr>
            <w:tcW w:w="1524" w:type="dxa"/>
          </w:tcPr>
          <w:p w:rsidR="004E1650" w:rsidRPr="003F2B4F" w:rsidRDefault="004E1650" w:rsidP="003F2B4F">
            <w:pPr>
              <w:jc w:val="right"/>
              <w:rPr>
                <w:rFonts w:ascii="Calibri" w:hAnsi="Calibri"/>
                <w:b/>
                <w:sz w:val="24"/>
                <w:szCs w:val="24"/>
              </w:rPr>
            </w:pPr>
            <w:r w:rsidRPr="003F2B4F">
              <w:rPr>
                <w:rFonts w:ascii="Calibri" w:hAnsi="Calibri"/>
                <w:b/>
                <w:sz w:val="24"/>
                <w:szCs w:val="24"/>
              </w:rPr>
              <w:t>2022/23</w:t>
            </w:r>
          </w:p>
          <w:p w:rsidR="004E1650" w:rsidRPr="003F2B4F" w:rsidRDefault="004E1650" w:rsidP="003F2B4F">
            <w:pPr>
              <w:jc w:val="right"/>
              <w:rPr>
                <w:rFonts w:ascii="Calibri" w:hAnsi="Calibri"/>
                <w:b/>
                <w:sz w:val="24"/>
                <w:szCs w:val="24"/>
              </w:rPr>
            </w:pPr>
            <w:r w:rsidRPr="003F2B4F">
              <w:rPr>
                <w:rFonts w:ascii="Calibri" w:hAnsi="Calibri"/>
                <w:b/>
                <w:sz w:val="24"/>
                <w:szCs w:val="24"/>
              </w:rPr>
              <w:t>£000</w:t>
            </w:r>
          </w:p>
        </w:tc>
      </w:tr>
      <w:tr w:rsidR="004E1650" w:rsidRPr="003F2B4F" w:rsidTr="003F2B4F">
        <w:tc>
          <w:tcPr>
            <w:tcW w:w="3686" w:type="dxa"/>
          </w:tcPr>
          <w:p w:rsidR="004E1650" w:rsidRPr="003F2B4F" w:rsidRDefault="00504E12" w:rsidP="003F2B4F">
            <w:pPr>
              <w:jc w:val="both"/>
              <w:rPr>
                <w:rFonts w:ascii="Calibri" w:hAnsi="Calibri"/>
                <w:sz w:val="24"/>
                <w:szCs w:val="24"/>
              </w:rPr>
            </w:pPr>
            <w:r w:rsidRPr="003F2B4F">
              <w:rPr>
                <w:rFonts w:ascii="Calibri" w:hAnsi="Calibri"/>
                <w:sz w:val="24"/>
                <w:szCs w:val="24"/>
              </w:rPr>
              <w:t xml:space="preserve">Net </w:t>
            </w:r>
            <w:r w:rsidR="004E1650" w:rsidRPr="003F2B4F">
              <w:rPr>
                <w:rFonts w:ascii="Calibri" w:hAnsi="Calibri"/>
                <w:sz w:val="24"/>
                <w:szCs w:val="24"/>
              </w:rPr>
              <w:t>Service Expenditure</w:t>
            </w:r>
            <w:r w:rsidRPr="003F2B4F">
              <w:rPr>
                <w:rFonts w:ascii="Calibri" w:hAnsi="Calibri"/>
                <w:sz w:val="24"/>
                <w:szCs w:val="24"/>
              </w:rPr>
              <w:t xml:space="preserve"> (less capital charges)</w:t>
            </w:r>
          </w:p>
        </w:tc>
        <w:tc>
          <w:tcPr>
            <w:tcW w:w="1523" w:type="dxa"/>
          </w:tcPr>
          <w:p w:rsidR="004E1650" w:rsidRPr="003F2B4F" w:rsidRDefault="00960E55" w:rsidP="003F2B4F">
            <w:pPr>
              <w:jc w:val="right"/>
              <w:rPr>
                <w:rFonts w:ascii="Calibri" w:hAnsi="Calibri"/>
                <w:sz w:val="24"/>
                <w:szCs w:val="24"/>
              </w:rPr>
            </w:pPr>
            <w:r w:rsidRPr="003F2B4F">
              <w:rPr>
                <w:rFonts w:ascii="Calibri" w:hAnsi="Calibri"/>
                <w:sz w:val="24"/>
                <w:szCs w:val="24"/>
              </w:rPr>
              <w:t>11</w:t>
            </w:r>
            <w:r w:rsidR="00504E12" w:rsidRPr="003F2B4F">
              <w:rPr>
                <w:rFonts w:ascii="Calibri" w:hAnsi="Calibri"/>
                <w:sz w:val="24"/>
                <w:szCs w:val="24"/>
              </w:rPr>
              <w:t>,</w:t>
            </w:r>
            <w:r w:rsidR="00E11B70" w:rsidRPr="003F2B4F">
              <w:rPr>
                <w:rFonts w:ascii="Calibri" w:hAnsi="Calibri"/>
                <w:sz w:val="24"/>
                <w:szCs w:val="24"/>
              </w:rPr>
              <w:t>1</w:t>
            </w:r>
            <w:r w:rsidR="00496902" w:rsidRPr="003F2B4F">
              <w:rPr>
                <w:rFonts w:ascii="Calibri" w:hAnsi="Calibri"/>
                <w:sz w:val="24"/>
                <w:szCs w:val="24"/>
              </w:rPr>
              <w:t>30</w:t>
            </w:r>
          </w:p>
        </w:tc>
        <w:tc>
          <w:tcPr>
            <w:tcW w:w="1524" w:type="dxa"/>
          </w:tcPr>
          <w:p w:rsidR="004E1650" w:rsidRPr="003F2B4F" w:rsidRDefault="0097430C" w:rsidP="003F2B4F">
            <w:pPr>
              <w:jc w:val="right"/>
              <w:rPr>
                <w:rFonts w:ascii="Calibri" w:hAnsi="Calibri"/>
                <w:sz w:val="24"/>
                <w:szCs w:val="24"/>
              </w:rPr>
            </w:pPr>
            <w:r w:rsidRPr="003F2B4F">
              <w:rPr>
                <w:rFonts w:ascii="Calibri" w:hAnsi="Calibri"/>
                <w:sz w:val="24"/>
                <w:szCs w:val="24"/>
              </w:rPr>
              <w:t>11,034</w:t>
            </w:r>
          </w:p>
        </w:tc>
        <w:tc>
          <w:tcPr>
            <w:tcW w:w="1524" w:type="dxa"/>
          </w:tcPr>
          <w:p w:rsidR="004E1650" w:rsidRPr="003F2B4F" w:rsidRDefault="0097430C" w:rsidP="003F2B4F">
            <w:pPr>
              <w:jc w:val="right"/>
              <w:rPr>
                <w:rFonts w:ascii="Calibri" w:hAnsi="Calibri"/>
                <w:sz w:val="24"/>
                <w:szCs w:val="24"/>
              </w:rPr>
            </w:pPr>
            <w:r w:rsidRPr="003F2B4F">
              <w:rPr>
                <w:rFonts w:ascii="Calibri" w:hAnsi="Calibri"/>
                <w:sz w:val="24"/>
                <w:szCs w:val="24"/>
              </w:rPr>
              <w:t>11,269</w:t>
            </w:r>
          </w:p>
        </w:tc>
        <w:tc>
          <w:tcPr>
            <w:tcW w:w="1524" w:type="dxa"/>
          </w:tcPr>
          <w:p w:rsidR="004E1650" w:rsidRPr="003F2B4F" w:rsidRDefault="0097430C" w:rsidP="003F2B4F">
            <w:pPr>
              <w:jc w:val="right"/>
              <w:rPr>
                <w:rFonts w:ascii="Calibri" w:hAnsi="Calibri"/>
                <w:sz w:val="24"/>
                <w:szCs w:val="24"/>
              </w:rPr>
            </w:pPr>
            <w:r w:rsidRPr="003F2B4F">
              <w:rPr>
                <w:rFonts w:ascii="Calibri" w:hAnsi="Calibri"/>
                <w:sz w:val="24"/>
                <w:szCs w:val="24"/>
              </w:rPr>
              <w:t>11,571</w:t>
            </w:r>
          </w:p>
        </w:tc>
      </w:tr>
      <w:tr w:rsidR="004E1650" w:rsidRPr="003F2B4F" w:rsidTr="003F2B4F">
        <w:tc>
          <w:tcPr>
            <w:tcW w:w="3686" w:type="dxa"/>
          </w:tcPr>
          <w:p w:rsidR="004E1650" w:rsidRPr="003F2B4F" w:rsidRDefault="004E1650" w:rsidP="003F2B4F">
            <w:pPr>
              <w:jc w:val="both"/>
              <w:rPr>
                <w:rFonts w:ascii="Calibri" w:hAnsi="Calibri"/>
                <w:sz w:val="24"/>
                <w:szCs w:val="24"/>
              </w:rPr>
            </w:pPr>
            <w:r w:rsidRPr="003F2B4F">
              <w:rPr>
                <w:rFonts w:ascii="Calibri" w:hAnsi="Calibri"/>
                <w:sz w:val="24"/>
                <w:szCs w:val="24"/>
              </w:rPr>
              <w:t>Total Other Expenditure</w:t>
            </w:r>
          </w:p>
        </w:tc>
        <w:tc>
          <w:tcPr>
            <w:tcW w:w="1523" w:type="dxa"/>
          </w:tcPr>
          <w:p w:rsidR="004E1650" w:rsidRPr="003F2B4F" w:rsidRDefault="00E11B70" w:rsidP="003F2B4F">
            <w:pPr>
              <w:jc w:val="right"/>
              <w:rPr>
                <w:rFonts w:ascii="Calibri" w:hAnsi="Calibri"/>
                <w:sz w:val="24"/>
                <w:szCs w:val="24"/>
              </w:rPr>
            </w:pPr>
            <w:r w:rsidRPr="003F2B4F">
              <w:rPr>
                <w:rFonts w:ascii="Calibri" w:hAnsi="Calibri"/>
                <w:sz w:val="24"/>
                <w:szCs w:val="24"/>
              </w:rPr>
              <w:t>1,</w:t>
            </w:r>
            <w:r w:rsidR="001C0AF2" w:rsidRPr="003F2B4F">
              <w:rPr>
                <w:rFonts w:ascii="Calibri" w:hAnsi="Calibri"/>
                <w:sz w:val="24"/>
                <w:szCs w:val="24"/>
              </w:rPr>
              <w:t>791</w:t>
            </w:r>
          </w:p>
        </w:tc>
        <w:tc>
          <w:tcPr>
            <w:tcW w:w="1524" w:type="dxa"/>
          </w:tcPr>
          <w:p w:rsidR="004E1650" w:rsidRPr="003F2B4F" w:rsidRDefault="004B6B27" w:rsidP="003F2B4F">
            <w:pPr>
              <w:jc w:val="right"/>
              <w:rPr>
                <w:rFonts w:ascii="Calibri" w:hAnsi="Calibri"/>
                <w:sz w:val="24"/>
                <w:szCs w:val="24"/>
              </w:rPr>
            </w:pPr>
            <w:r w:rsidRPr="003F2B4F">
              <w:rPr>
                <w:rFonts w:ascii="Calibri" w:hAnsi="Calibri"/>
                <w:sz w:val="24"/>
                <w:szCs w:val="24"/>
              </w:rPr>
              <w:t>1,591</w:t>
            </w:r>
          </w:p>
        </w:tc>
        <w:tc>
          <w:tcPr>
            <w:tcW w:w="1524" w:type="dxa"/>
          </w:tcPr>
          <w:p w:rsidR="004E1650" w:rsidRPr="003F2B4F" w:rsidRDefault="004B6B27" w:rsidP="003F2B4F">
            <w:pPr>
              <w:jc w:val="right"/>
              <w:rPr>
                <w:rFonts w:ascii="Calibri" w:hAnsi="Calibri"/>
                <w:sz w:val="24"/>
                <w:szCs w:val="24"/>
              </w:rPr>
            </w:pPr>
            <w:r w:rsidRPr="003F2B4F">
              <w:rPr>
                <w:rFonts w:ascii="Calibri" w:hAnsi="Calibri"/>
                <w:sz w:val="24"/>
                <w:szCs w:val="24"/>
              </w:rPr>
              <w:t>1,828</w:t>
            </w:r>
          </w:p>
        </w:tc>
        <w:tc>
          <w:tcPr>
            <w:tcW w:w="1524" w:type="dxa"/>
          </w:tcPr>
          <w:p w:rsidR="004E1650" w:rsidRPr="003F2B4F" w:rsidRDefault="004B6B27" w:rsidP="003F2B4F">
            <w:pPr>
              <w:jc w:val="right"/>
              <w:rPr>
                <w:rFonts w:ascii="Calibri" w:hAnsi="Calibri"/>
                <w:sz w:val="24"/>
                <w:szCs w:val="24"/>
              </w:rPr>
            </w:pPr>
            <w:r w:rsidRPr="003F2B4F">
              <w:rPr>
                <w:rFonts w:ascii="Calibri" w:hAnsi="Calibri"/>
                <w:sz w:val="24"/>
                <w:szCs w:val="24"/>
              </w:rPr>
              <w:t>1,871</w:t>
            </w:r>
          </w:p>
        </w:tc>
      </w:tr>
      <w:tr w:rsidR="004E1650" w:rsidRPr="003F2B4F" w:rsidTr="003F2B4F">
        <w:tc>
          <w:tcPr>
            <w:tcW w:w="3686" w:type="dxa"/>
          </w:tcPr>
          <w:p w:rsidR="004E1650" w:rsidRPr="003F2B4F" w:rsidRDefault="004E1650" w:rsidP="003F2B4F">
            <w:pPr>
              <w:jc w:val="both"/>
              <w:rPr>
                <w:rFonts w:ascii="Calibri" w:hAnsi="Calibri"/>
                <w:sz w:val="24"/>
                <w:szCs w:val="24"/>
              </w:rPr>
            </w:pPr>
            <w:r w:rsidRPr="003F2B4F">
              <w:rPr>
                <w:rFonts w:ascii="Calibri" w:hAnsi="Calibri"/>
                <w:sz w:val="24"/>
                <w:szCs w:val="24"/>
              </w:rPr>
              <w:t>Total Expenditure</w:t>
            </w:r>
          </w:p>
        </w:tc>
        <w:tc>
          <w:tcPr>
            <w:tcW w:w="1523" w:type="dxa"/>
          </w:tcPr>
          <w:p w:rsidR="004E1650" w:rsidRPr="003F2B4F" w:rsidRDefault="00E11B70" w:rsidP="003F2B4F">
            <w:pPr>
              <w:jc w:val="right"/>
              <w:rPr>
                <w:rFonts w:ascii="Calibri" w:hAnsi="Calibri"/>
                <w:sz w:val="24"/>
                <w:szCs w:val="24"/>
              </w:rPr>
            </w:pPr>
            <w:r w:rsidRPr="003F2B4F">
              <w:rPr>
                <w:rFonts w:ascii="Calibri" w:hAnsi="Calibri"/>
                <w:sz w:val="24"/>
                <w:szCs w:val="24"/>
              </w:rPr>
              <w:t>12,9</w:t>
            </w:r>
            <w:r w:rsidR="001C0AF2" w:rsidRPr="003F2B4F">
              <w:rPr>
                <w:rFonts w:ascii="Calibri" w:hAnsi="Calibri"/>
                <w:sz w:val="24"/>
                <w:szCs w:val="24"/>
              </w:rPr>
              <w:t>21</w:t>
            </w:r>
          </w:p>
        </w:tc>
        <w:tc>
          <w:tcPr>
            <w:tcW w:w="1524" w:type="dxa"/>
          </w:tcPr>
          <w:p w:rsidR="004E1650" w:rsidRPr="003F2B4F" w:rsidRDefault="004B6B27" w:rsidP="003F2B4F">
            <w:pPr>
              <w:jc w:val="right"/>
              <w:rPr>
                <w:rFonts w:ascii="Calibri" w:hAnsi="Calibri"/>
                <w:sz w:val="24"/>
                <w:szCs w:val="24"/>
              </w:rPr>
            </w:pPr>
            <w:r w:rsidRPr="003F2B4F">
              <w:rPr>
                <w:rFonts w:ascii="Calibri" w:hAnsi="Calibri"/>
                <w:sz w:val="24"/>
                <w:szCs w:val="24"/>
              </w:rPr>
              <w:t>12,625</w:t>
            </w:r>
          </w:p>
        </w:tc>
        <w:tc>
          <w:tcPr>
            <w:tcW w:w="1524" w:type="dxa"/>
          </w:tcPr>
          <w:p w:rsidR="004E1650" w:rsidRPr="003F2B4F" w:rsidRDefault="004B6B27" w:rsidP="003F2B4F">
            <w:pPr>
              <w:jc w:val="right"/>
              <w:rPr>
                <w:rFonts w:ascii="Calibri" w:hAnsi="Calibri"/>
                <w:sz w:val="24"/>
                <w:szCs w:val="24"/>
              </w:rPr>
            </w:pPr>
            <w:r w:rsidRPr="003F2B4F">
              <w:rPr>
                <w:rFonts w:ascii="Calibri" w:hAnsi="Calibri"/>
                <w:sz w:val="24"/>
                <w:szCs w:val="24"/>
              </w:rPr>
              <w:t>13,097</w:t>
            </w:r>
          </w:p>
        </w:tc>
        <w:tc>
          <w:tcPr>
            <w:tcW w:w="1524" w:type="dxa"/>
          </w:tcPr>
          <w:p w:rsidR="004E1650" w:rsidRPr="003F2B4F" w:rsidRDefault="004B6B27" w:rsidP="003F2B4F">
            <w:pPr>
              <w:jc w:val="right"/>
              <w:rPr>
                <w:rFonts w:ascii="Calibri" w:hAnsi="Calibri"/>
                <w:sz w:val="24"/>
                <w:szCs w:val="24"/>
              </w:rPr>
            </w:pPr>
            <w:r w:rsidRPr="003F2B4F">
              <w:rPr>
                <w:rFonts w:ascii="Calibri" w:hAnsi="Calibri"/>
                <w:sz w:val="24"/>
                <w:szCs w:val="24"/>
              </w:rPr>
              <w:t>13,44</w:t>
            </w:r>
            <w:r w:rsidR="0097430C" w:rsidRPr="003F2B4F">
              <w:rPr>
                <w:rFonts w:ascii="Calibri" w:hAnsi="Calibri"/>
                <w:sz w:val="24"/>
                <w:szCs w:val="24"/>
              </w:rPr>
              <w:t>2</w:t>
            </w:r>
          </w:p>
        </w:tc>
      </w:tr>
      <w:tr w:rsidR="004E1650" w:rsidRPr="003F2B4F" w:rsidTr="003F2B4F">
        <w:tc>
          <w:tcPr>
            <w:tcW w:w="3686" w:type="dxa"/>
          </w:tcPr>
          <w:p w:rsidR="004E1650" w:rsidRPr="003F2B4F" w:rsidRDefault="004E1650" w:rsidP="003F2B4F">
            <w:pPr>
              <w:jc w:val="both"/>
              <w:rPr>
                <w:rFonts w:ascii="Calibri" w:hAnsi="Calibri"/>
                <w:sz w:val="24"/>
                <w:szCs w:val="24"/>
              </w:rPr>
            </w:pPr>
          </w:p>
        </w:tc>
        <w:tc>
          <w:tcPr>
            <w:tcW w:w="1523" w:type="dxa"/>
          </w:tcPr>
          <w:p w:rsidR="004E1650" w:rsidRPr="003F2B4F" w:rsidRDefault="004E1650" w:rsidP="003F2B4F">
            <w:pPr>
              <w:jc w:val="right"/>
              <w:rPr>
                <w:rFonts w:ascii="Calibri" w:hAnsi="Calibri"/>
                <w:sz w:val="24"/>
                <w:szCs w:val="24"/>
              </w:rPr>
            </w:pPr>
          </w:p>
        </w:tc>
        <w:tc>
          <w:tcPr>
            <w:tcW w:w="1524" w:type="dxa"/>
          </w:tcPr>
          <w:p w:rsidR="004E1650" w:rsidRPr="003F2B4F" w:rsidRDefault="004E1650" w:rsidP="003F2B4F">
            <w:pPr>
              <w:jc w:val="right"/>
              <w:rPr>
                <w:rFonts w:ascii="Calibri" w:hAnsi="Calibri"/>
                <w:sz w:val="24"/>
                <w:szCs w:val="24"/>
              </w:rPr>
            </w:pPr>
          </w:p>
        </w:tc>
        <w:tc>
          <w:tcPr>
            <w:tcW w:w="1524" w:type="dxa"/>
          </w:tcPr>
          <w:p w:rsidR="004E1650" w:rsidRPr="003F2B4F" w:rsidRDefault="004E1650" w:rsidP="003F2B4F">
            <w:pPr>
              <w:jc w:val="right"/>
              <w:rPr>
                <w:rFonts w:ascii="Calibri" w:hAnsi="Calibri"/>
                <w:sz w:val="24"/>
                <w:szCs w:val="24"/>
              </w:rPr>
            </w:pPr>
          </w:p>
        </w:tc>
        <w:tc>
          <w:tcPr>
            <w:tcW w:w="1524" w:type="dxa"/>
          </w:tcPr>
          <w:p w:rsidR="004E1650" w:rsidRPr="003F2B4F" w:rsidRDefault="004E1650" w:rsidP="003F2B4F">
            <w:pPr>
              <w:jc w:val="right"/>
              <w:rPr>
                <w:rFonts w:ascii="Calibri" w:hAnsi="Calibri"/>
                <w:sz w:val="24"/>
                <w:szCs w:val="24"/>
              </w:rPr>
            </w:pPr>
          </w:p>
        </w:tc>
      </w:tr>
      <w:tr w:rsidR="004E1650" w:rsidRPr="003F2B4F" w:rsidTr="003F2B4F">
        <w:tc>
          <w:tcPr>
            <w:tcW w:w="3686" w:type="dxa"/>
          </w:tcPr>
          <w:p w:rsidR="004E1650" w:rsidRPr="003F2B4F" w:rsidRDefault="004E1650" w:rsidP="003F2B4F">
            <w:pPr>
              <w:jc w:val="both"/>
              <w:rPr>
                <w:rFonts w:ascii="Calibri" w:hAnsi="Calibri"/>
                <w:sz w:val="24"/>
                <w:szCs w:val="24"/>
              </w:rPr>
            </w:pPr>
            <w:r w:rsidRPr="003F2B4F">
              <w:rPr>
                <w:rFonts w:ascii="Calibri" w:hAnsi="Calibri"/>
                <w:sz w:val="24"/>
                <w:szCs w:val="24"/>
              </w:rPr>
              <w:t xml:space="preserve">Total </w:t>
            </w:r>
            <w:r w:rsidR="00504E12" w:rsidRPr="003F2B4F">
              <w:rPr>
                <w:rFonts w:ascii="Calibri" w:hAnsi="Calibri"/>
                <w:sz w:val="24"/>
                <w:szCs w:val="24"/>
              </w:rPr>
              <w:t>Business Rates</w:t>
            </w:r>
          </w:p>
        </w:tc>
        <w:tc>
          <w:tcPr>
            <w:tcW w:w="1523" w:type="dxa"/>
          </w:tcPr>
          <w:p w:rsidR="004E1650" w:rsidRPr="003F2B4F" w:rsidRDefault="00960E55" w:rsidP="003F2B4F">
            <w:pPr>
              <w:jc w:val="right"/>
              <w:rPr>
                <w:rFonts w:ascii="Calibri" w:hAnsi="Calibri"/>
                <w:sz w:val="24"/>
                <w:szCs w:val="24"/>
              </w:rPr>
            </w:pPr>
            <w:r w:rsidRPr="003F2B4F">
              <w:rPr>
                <w:rFonts w:ascii="Calibri" w:hAnsi="Calibri"/>
                <w:sz w:val="24"/>
                <w:szCs w:val="24"/>
              </w:rPr>
              <w:t>(</w:t>
            </w:r>
            <w:r w:rsidR="00E11B70" w:rsidRPr="003F2B4F">
              <w:rPr>
                <w:rFonts w:ascii="Calibri" w:hAnsi="Calibri"/>
                <w:sz w:val="24"/>
                <w:szCs w:val="24"/>
              </w:rPr>
              <w:t>6,952</w:t>
            </w:r>
            <w:r w:rsidR="00504E12" w:rsidRPr="003F2B4F">
              <w:rPr>
                <w:rFonts w:ascii="Calibri" w:hAnsi="Calibri"/>
                <w:sz w:val="24"/>
                <w:szCs w:val="24"/>
              </w:rPr>
              <w:t>)</w:t>
            </w:r>
          </w:p>
        </w:tc>
        <w:tc>
          <w:tcPr>
            <w:tcW w:w="1524" w:type="dxa"/>
          </w:tcPr>
          <w:p w:rsidR="004E1650" w:rsidRPr="003F2B4F" w:rsidRDefault="00E11B70" w:rsidP="003F2B4F">
            <w:pPr>
              <w:jc w:val="right"/>
              <w:rPr>
                <w:rFonts w:ascii="Calibri" w:hAnsi="Calibri"/>
                <w:sz w:val="24"/>
                <w:szCs w:val="24"/>
              </w:rPr>
            </w:pPr>
            <w:r w:rsidRPr="003F2B4F">
              <w:rPr>
                <w:rFonts w:ascii="Calibri" w:hAnsi="Calibri"/>
                <w:sz w:val="24"/>
                <w:szCs w:val="24"/>
              </w:rPr>
              <w:t>(4,660</w:t>
            </w:r>
            <w:r w:rsidR="00504E12" w:rsidRPr="003F2B4F">
              <w:rPr>
                <w:rFonts w:ascii="Calibri" w:hAnsi="Calibri"/>
                <w:sz w:val="24"/>
                <w:szCs w:val="24"/>
              </w:rPr>
              <w:t>)</w:t>
            </w:r>
          </w:p>
        </w:tc>
        <w:tc>
          <w:tcPr>
            <w:tcW w:w="1524" w:type="dxa"/>
          </w:tcPr>
          <w:p w:rsidR="004E1650" w:rsidRPr="003F2B4F" w:rsidRDefault="00504E12" w:rsidP="003F2B4F">
            <w:pPr>
              <w:jc w:val="right"/>
              <w:rPr>
                <w:rFonts w:ascii="Calibri" w:hAnsi="Calibri"/>
                <w:sz w:val="24"/>
                <w:szCs w:val="24"/>
              </w:rPr>
            </w:pPr>
            <w:r w:rsidRPr="003F2B4F">
              <w:rPr>
                <w:rFonts w:ascii="Calibri" w:hAnsi="Calibri"/>
                <w:sz w:val="24"/>
                <w:szCs w:val="24"/>
              </w:rPr>
              <w:t>(</w:t>
            </w:r>
            <w:r w:rsidR="00E11B70" w:rsidRPr="003F2B4F">
              <w:rPr>
                <w:rFonts w:ascii="Calibri" w:hAnsi="Calibri"/>
                <w:sz w:val="24"/>
                <w:szCs w:val="24"/>
              </w:rPr>
              <w:t>4,741</w:t>
            </w:r>
            <w:r w:rsidRPr="003F2B4F">
              <w:rPr>
                <w:rFonts w:ascii="Calibri" w:hAnsi="Calibri"/>
                <w:sz w:val="24"/>
                <w:szCs w:val="24"/>
              </w:rPr>
              <w:t>)</w:t>
            </w:r>
          </w:p>
        </w:tc>
        <w:tc>
          <w:tcPr>
            <w:tcW w:w="1524" w:type="dxa"/>
          </w:tcPr>
          <w:p w:rsidR="004E1650" w:rsidRPr="003F2B4F" w:rsidRDefault="00504E12" w:rsidP="003F2B4F">
            <w:pPr>
              <w:jc w:val="right"/>
              <w:rPr>
                <w:rFonts w:ascii="Calibri" w:hAnsi="Calibri"/>
                <w:sz w:val="24"/>
                <w:szCs w:val="24"/>
              </w:rPr>
            </w:pPr>
            <w:r w:rsidRPr="003F2B4F">
              <w:rPr>
                <w:rFonts w:ascii="Calibri" w:hAnsi="Calibri"/>
                <w:sz w:val="24"/>
                <w:szCs w:val="24"/>
              </w:rPr>
              <w:t>(</w:t>
            </w:r>
            <w:r w:rsidR="00E11B70" w:rsidRPr="003F2B4F">
              <w:rPr>
                <w:rFonts w:ascii="Calibri" w:hAnsi="Calibri"/>
                <w:sz w:val="24"/>
                <w:szCs w:val="24"/>
              </w:rPr>
              <w:t>4,815</w:t>
            </w:r>
            <w:r w:rsidRPr="003F2B4F">
              <w:rPr>
                <w:rFonts w:ascii="Calibri" w:hAnsi="Calibri"/>
                <w:sz w:val="24"/>
                <w:szCs w:val="24"/>
              </w:rPr>
              <w:t>)</w:t>
            </w:r>
          </w:p>
        </w:tc>
      </w:tr>
      <w:tr w:rsidR="004E1650" w:rsidRPr="003F2B4F" w:rsidTr="003F2B4F">
        <w:tc>
          <w:tcPr>
            <w:tcW w:w="3686" w:type="dxa"/>
          </w:tcPr>
          <w:p w:rsidR="004E1650" w:rsidRPr="003F2B4F" w:rsidRDefault="004E1650" w:rsidP="003F2B4F">
            <w:pPr>
              <w:jc w:val="both"/>
              <w:rPr>
                <w:rFonts w:ascii="Calibri" w:hAnsi="Calibri"/>
                <w:sz w:val="24"/>
                <w:szCs w:val="24"/>
              </w:rPr>
            </w:pPr>
            <w:r w:rsidRPr="003F2B4F">
              <w:rPr>
                <w:rFonts w:ascii="Calibri" w:hAnsi="Calibri"/>
                <w:sz w:val="24"/>
                <w:szCs w:val="24"/>
              </w:rPr>
              <w:t>Council Tax</w:t>
            </w:r>
          </w:p>
        </w:tc>
        <w:tc>
          <w:tcPr>
            <w:tcW w:w="1523" w:type="dxa"/>
          </w:tcPr>
          <w:p w:rsidR="004E1650" w:rsidRPr="003F2B4F" w:rsidRDefault="001C0AF2" w:rsidP="003F2B4F">
            <w:pPr>
              <w:jc w:val="right"/>
              <w:rPr>
                <w:rFonts w:ascii="Calibri" w:hAnsi="Calibri"/>
                <w:sz w:val="24"/>
                <w:szCs w:val="24"/>
              </w:rPr>
            </w:pPr>
            <w:r w:rsidRPr="003F2B4F">
              <w:rPr>
                <w:rFonts w:ascii="Calibri" w:hAnsi="Calibri"/>
                <w:sz w:val="24"/>
                <w:szCs w:val="24"/>
              </w:rPr>
              <w:t>(6,729</w:t>
            </w:r>
            <w:r w:rsidR="00504E12" w:rsidRPr="003F2B4F">
              <w:rPr>
                <w:rFonts w:ascii="Calibri" w:hAnsi="Calibri"/>
                <w:sz w:val="24"/>
                <w:szCs w:val="24"/>
              </w:rPr>
              <w:t>)</w:t>
            </w:r>
          </w:p>
        </w:tc>
        <w:tc>
          <w:tcPr>
            <w:tcW w:w="1524" w:type="dxa"/>
          </w:tcPr>
          <w:p w:rsidR="004E1650" w:rsidRPr="003F2B4F" w:rsidRDefault="00E11B70" w:rsidP="003F2B4F">
            <w:pPr>
              <w:jc w:val="right"/>
              <w:rPr>
                <w:rFonts w:ascii="Calibri" w:hAnsi="Calibri"/>
                <w:sz w:val="24"/>
                <w:szCs w:val="24"/>
              </w:rPr>
            </w:pPr>
            <w:r w:rsidRPr="003F2B4F">
              <w:rPr>
                <w:rFonts w:ascii="Calibri" w:hAnsi="Calibri"/>
                <w:sz w:val="24"/>
                <w:szCs w:val="24"/>
              </w:rPr>
              <w:t>(6,946</w:t>
            </w:r>
            <w:r w:rsidR="00504E12" w:rsidRPr="003F2B4F">
              <w:rPr>
                <w:rFonts w:ascii="Calibri" w:hAnsi="Calibri"/>
                <w:sz w:val="24"/>
                <w:szCs w:val="24"/>
              </w:rPr>
              <w:t>)</w:t>
            </w:r>
          </w:p>
        </w:tc>
        <w:tc>
          <w:tcPr>
            <w:tcW w:w="1524" w:type="dxa"/>
          </w:tcPr>
          <w:p w:rsidR="004E1650" w:rsidRPr="003F2B4F" w:rsidRDefault="00504E12" w:rsidP="003F2B4F">
            <w:pPr>
              <w:jc w:val="right"/>
              <w:rPr>
                <w:rFonts w:ascii="Calibri" w:hAnsi="Calibri"/>
                <w:sz w:val="24"/>
                <w:szCs w:val="24"/>
              </w:rPr>
            </w:pPr>
            <w:r w:rsidRPr="003F2B4F">
              <w:rPr>
                <w:rFonts w:ascii="Calibri" w:hAnsi="Calibri"/>
                <w:sz w:val="24"/>
                <w:szCs w:val="24"/>
              </w:rPr>
              <w:t>(7,1</w:t>
            </w:r>
            <w:r w:rsidR="00E11B70" w:rsidRPr="003F2B4F">
              <w:rPr>
                <w:rFonts w:ascii="Calibri" w:hAnsi="Calibri"/>
                <w:sz w:val="24"/>
                <w:szCs w:val="24"/>
              </w:rPr>
              <w:t>67</w:t>
            </w:r>
            <w:r w:rsidRPr="003F2B4F">
              <w:rPr>
                <w:rFonts w:ascii="Calibri" w:hAnsi="Calibri"/>
                <w:sz w:val="24"/>
                <w:szCs w:val="24"/>
              </w:rPr>
              <w:t>)</w:t>
            </w:r>
          </w:p>
        </w:tc>
        <w:tc>
          <w:tcPr>
            <w:tcW w:w="1524" w:type="dxa"/>
          </w:tcPr>
          <w:p w:rsidR="004E1650" w:rsidRPr="003F2B4F" w:rsidRDefault="00E11B70" w:rsidP="003F2B4F">
            <w:pPr>
              <w:jc w:val="right"/>
              <w:rPr>
                <w:rFonts w:ascii="Calibri" w:hAnsi="Calibri"/>
                <w:sz w:val="24"/>
                <w:szCs w:val="24"/>
              </w:rPr>
            </w:pPr>
            <w:r w:rsidRPr="003F2B4F">
              <w:rPr>
                <w:rFonts w:ascii="Calibri" w:hAnsi="Calibri"/>
                <w:sz w:val="24"/>
                <w:szCs w:val="24"/>
              </w:rPr>
              <w:t>(7,397</w:t>
            </w:r>
            <w:r w:rsidR="00504E12" w:rsidRPr="003F2B4F">
              <w:rPr>
                <w:rFonts w:ascii="Calibri" w:hAnsi="Calibri"/>
                <w:sz w:val="24"/>
                <w:szCs w:val="24"/>
              </w:rPr>
              <w:t>)</w:t>
            </w:r>
          </w:p>
        </w:tc>
      </w:tr>
      <w:tr w:rsidR="00504E12" w:rsidRPr="003F2B4F" w:rsidTr="003F2B4F">
        <w:tc>
          <w:tcPr>
            <w:tcW w:w="3686" w:type="dxa"/>
          </w:tcPr>
          <w:p w:rsidR="00504E12" w:rsidRPr="003F2B4F" w:rsidRDefault="00504E12" w:rsidP="003F2B4F">
            <w:pPr>
              <w:jc w:val="both"/>
              <w:rPr>
                <w:rFonts w:ascii="Calibri" w:hAnsi="Calibri"/>
                <w:sz w:val="24"/>
                <w:szCs w:val="24"/>
              </w:rPr>
            </w:pPr>
            <w:r w:rsidRPr="003F2B4F">
              <w:rPr>
                <w:rFonts w:ascii="Calibri" w:hAnsi="Calibri"/>
                <w:sz w:val="24"/>
                <w:szCs w:val="24"/>
              </w:rPr>
              <w:t>Other Grants</w:t>
            </w:r>
          </w:p>
        </w:tc>
        <w:tc>
          <w:tcPr>
            <w:tcW w:w="1523" w:type="dxa"/>
          </w:tcPr>
          <w:p w:rsidR="00504E12" w:rsidRPr="003F2B4F" w:rsidRDefault="001C0AF2" w:rsidP="003F2B4F">
            <w:pPr>
              <w:jc w:val="right"/>
              <w:rPr>
                <w:rFonts w:ascii="Calibri" w:hAnsi="Calibri"/>
                <w:sz w:val="24"/>
                <w:szCs w:val="24"/>
              </w:rPr>
            </w:pPr>
            <w:r w:rsidRPr="003F2B4F">
              <w:rPr>
                <w:rFonts w:ascii="Calibri" w:hAnsi="Calibri"/>
                <w:sz w:val="24"/>
                <w:szCs w:val="24"/>
              </w:rPr>
              <w:t>(120</w:t>
            </w:r>
            <w:r w:rsidR="00504E12" w:rsidRPr="003F2B4F">
              <w:rPr>
                <w:rFonts w:ascii="Calibri" w:hAnsi="Calibri"/>
                <w:sz w:val="24"/>
                <w:szCs w:val="24"/>
              </w:rPr>
              <w:t>)</w:t>
            </w:r>
          </w:p>
        </w:tc>
        <w:tc>
          <w:tcPr>
            <w:tcW w:w="1524" w:type="dxa"/>
          </w:tcPr>
          <w:p w:rsidR="00504E12" w:rsidRPr="003F2B4F" w:rsidRDefault="00504E12" w:rsidP="003F2B4F">
            <w:pPr>
              <w:jc w:val="right"/>
              <w:rPr>
                <w:rFonts w:ascii="Calibri" w:hAnsi="Calibri"/>
                <w:sz w:val="24"/>
                <w:szCs w:val="24"/>
              </w:rPr>
            </w:pPr>
            <w:r w:rsidRPr="003F2B4F">
              <w:rPr>
                <w:rFonts w:ascii="Calibri" w:hAnsi="Calibri"/>
                <w:sz w:val="24"/>
                <w:szCs w:val="24"/>
              </w:rPr>
              <w:t>0</w:t>
            </w:r>
          </w:p>
        </w:tc>
        <w:tc>
          <w:tcPr>
            <w:tcW w:w="1524" w:type="dxa"/>
          </w:tcPr>
          <w:p w:rsidR="00504E12" w:rsidRPr="003F2B4F" w:rsidRDefault="00504E12" w:rsidP="003F2B4F">
            <w:pPr>
              <w:jc w:val="right"/>
              <w:rPr>
                <w:rFonts w:ascii="Calibri" w:hAnsi="Calibri"/>
                <w:sz w:val="24"/>
                <w:szCs w:val="24"/>
              </w:rPr>
            </w:pPr>
            <w:r w:rsidRPr="003F2B4F">
              <w:rPr>
                <w:rFonts w:ascii="Calibri" w:hAnsi="Calibri"/>
                <w:sz w:val="24"/>
                <w:szCs w:val="24"/>
              </w:rPr>
              <w:t>0</w:t>
            </w:r>
          </w:p>
        </w:tc>
        <w:tc>
          <w:tcPr>
            <w:tcW w:w="1524" w:type="dxa"/>
          </w:tcPr>
          <w:p w:rsidR="00504E12" w:rsidRPr="003F2B4F" w:rsidRDefault="00504E12" w:rsidP="003F2B4F">
            <w:pPr>
              <w:jc w:val="right"/>
              <w:rPr>
                <w:rFonts w:ascii="Calibri" w:hAnsi="Calibri"/>
                <w:sz w:val="24"/>
                <w:szCs w:val="24"/>
              </w:rPr>
            </w:pPr>
            <w:r w:rsidRPr="003F2B4F">
              <w:rPr>
                <w:rFonts w:ascii="Calibri" w:hAnsi="Calibri"/>
                <w:sz w:val="24"/>
                <w:szCs w:val="24"/>
              </w:rPr>
              <w:t>0</w:t>
            </w:r>
          </w:p>
        </w:tc>
      </w:tr>
      <w:tr w:rsidR="00201B2D" w:rsidRPr="003F2B4F" w:rsidTr="003F2B4F">
        <w:tc>
          <w:tcPr>
            <w:tcW w:w="3686" w:type="dxa"/>
          </w:tcPr>
          <w:p w:rsidR="00201B2D" w:rsidRPr="003F2B4F" w:rsidRDefault="00201B2D" w:rsidP="003F2B4F">
            <w:pPr>
              <w:tabs>
                <w:tab w:val="left" w:pos="270"/>
              </w:tabs>
              <w:jc w:val="both"/>
              <w:rPr>
                <w:rFonts w:ascii="Calibri" w:hAnsi="Calibri"/>
                <w:sz w:val="24"/>
                <w:szCs w:val="24"/>
              </w:rPr>
            </w:pPr>
            <w:r>
              <w:rPr>
                <w:rFonts w:ascii="Calibri" w:hAnsi="Calibri"/>
                <w:sz w:val="24"/>
                <w:szCs w:val="24"/>
              </w:rPr>
              <w:t>Allocation of previous year surplus</w:t>
            </w:r>
          </w:p>
        </w:tc>
        <w:tc>
          <w:tcPr>
            <w:tcW w:w="1523" w:type="dxa"/>
          </w:tcPr>
          <w:p w:rsidR="00201B2D" w:rsidRPr="003F2B4F" w:rsidRDefault="00201B2D" w:rsidP="003F2B4F">
            <w:pPr>
              <w:jc w:val="right"/>
              <w:rPr>
                <w:rFonts w:ascii="Calibri" w:hAnsi="Calibri"/>
                <w:sz w:val="24"/>
                <w:szCs w:val="24"/>
              </w:rPr>
            </w:pPr>
            <w:r>
              <w:rPr>
                <w:rFonts w:ascii="Calibri" w:hAnsi="Calibri"/>
                <w:sz w:val="24"/>
                <w:szCs w:val="24"/>
              </w:rPr>
              <w:t>0</w:t>
            </w:r>
          </w:p>
        </w:tc>
        <w:tc>
          <w:tcPr>
            <w:tcW w:w="1524" w:type="dxa"/>
          </w:tcPr>
          <w:p w:rsidR="00201B2D" w:rsidRPr="003F2B4F" w:rsidRDefault="00201B2D" w:rsidP="003F2B4F">
            <w:pPr>
              <w:jc w:val="right"/>
              <w:rPr>
                <w:rFonts w:ascii="Calibri" w:hAnsi="Calibri"/>
                <w:sz w:val="24"/>
                <w:szCs w:val="24"/>
              </w:rPr>
            </w:pPr>
            <w:r>
              <w:rPr>
                <w:rFonts w:ascii="Calibri" w:hAnsi="Calibri"/>
                <w:sz w:val="24"/>
                <w:szCs w:val="24"/>
              </w:rPr>
              <w:t>(880)</w:t>
            </w:r>
          </w:p>
        </w:tc>
        <w:tc>
          <w:tcPr>
            <w:tcW w:w="1524" w:type="dxa"/>
          </w:tcPr>
          <w:p w:rsidR="00201B2D" w:rsidRPr="003F2B4F" w:rsidRDefault="00201B2D" w:rsidP="003F2B4F">
            <w:pPr>
              <w:jc w:val="right"/>
              <w:rPr>
                <w:rFonts w:ascii="Calibri" w:hAnsi="Calibri"/>
                <w:sz w:val="24"/>
                <w:szCs w:val="24"/>
              </w:rPr>
            </w:pPr>
            <w:r>
              <w:rPr>
                <w:rFonts w:ascii="Calibri" w:hAnsi="Calibri"/>
                <w:sz w:val="24"/>
                <w:szCs w:val="24"/>
              </w:rPr>
              <w:t>0</w:t>
            </w:r>
          </w:p>
        </w:tc>
        <w:tc>
          <w:tcPr>
            <w:tcW w:w="1524" w:type="dxa"/>
          </w:tcPr>
          <w:p w:rsidR="00201B2D" w:rsidRPr="003F2B4F" w:rsidRDefault="00201B2D" w:rsidP="003F2B4F">
            <w:pPr>
              <w:jc w:val="right"/>
              <w:rPr>
                <w:rFonts w:ascii="Calibri" w:hAnsi="Calibri"/>
                <w:sz w:val="24"/>
                <w:szCs w:val="24"/>
              </w:rPr>
            </w:pPr>
            <w:r>
              <w:rPr>
                <w:rFonts w:ascii="Calibri" w:hAnsi="Calibri"/>
                <w:sz w:val="24"/>
                <w:szCs w:val="24"/>
              </w:rPr>
              <w:t>0</w:t>
            </w:r>
          </w:p>
        </w:tc>
      </w:tr>
      <w:tr w:rsidR="00201B2D" w:rsidRPr="003F2B4F" w:rsidTr="003F2B4F">
        <w:tc>
          <w:tcPr>
            <w:tcW w:w="3686" w:type="dxa"/>
          </w:tcPr>
          <w:p w:rsidR="00201B2D" w:rsidRPr="003F2B4F" w:rsidRDefault="00201B2D" w:rsidP="003F2B4F">
            <w:pPr>
              <w:tabs>
                <w:tab w:val="left" w:pos="270"/>
              </w:tabs>
              <w:jc w:val="both"/>
              <w:rPr>
                <w:rFonts w:ascii="Calibri" w:hAnsi="Calibri"/>
                <w:sz w:val="24"/>
                <w:szCs w:val="24"/>
              </w:rPr>
            </w:pPr>
            <w:r>
              <w:rPr>
                <w:rFonts w:ascii="Calibri" w:hAnsi="Calibri"/>
                <w:sz w:val="24"/>
                <w:szCs w:val="24"/>
              </w:rPr>
              <w:t>In-year savings and additional income generation</w:t>
            </w:r>
          </w:p>
        </w:tc>
        <w:tc>
          <w:tcPr>
            <w:tcW w:w="1523" w:type="dxa"/>
          </w:tcPr>
          <w:p w:rsidR="00201B2D" w:rsidRPr="003F2B4F" w:rsidRDefault="00201B2D" w:rsidP="003F2B4F">
            <w:pPr>
              <w:jc w:val="right"/>
              <w:rPr>
                <w:rFonts w:ascii="Calibri" w:hAnsi="Calibri"/>
                <w:sz w:val="24"/>
                <w:szCs w:val="24"/>
              </w:rPr>
            </w:pPr>
          </w:p>
        </w:tc>
        <w:tc>
          <w:tcPr>
            <w:tcW w:w="1524" w:type="dxa"/>
          </w:tcPr>
          <w:p w:rsidR="00201B2D" w:rsidRPr="003F2B4F" w:rsidRDefault="00201B2D" w:rsidP="003F2B4F">
            <w:pPr>
              <w:jc w:val="right"/>
              <w:rPr>
                <w:rFonts w:ascii="Calibri" w:hAnsi="Calibri"/>
                <w:sz w:val="24"/>
                <w:szCs w:val="24"/>
              </w:rPr>
            </w:pPr>
            <w:r>
              <w:rPr>
                <w:rFonts w:ascii="Calibri" w:hAnsi="Calibri"/>
                <w:sz w:val="24"/>
                <w:szCs w:val="24"/>
              </w:rPr>
              <w:t>(139)</w:t>
            </w:r>
          </w:p>
        </w:tc>
        <w:tc>
          <w:tcPr>
            <w:tcW w:w="1524" w:type="dxa"/>
          </w:tcPr>
          <w:p w:rsidR="00201B2D" w:rsidRPr="003F2B4F" w:rsidRDefault="00201B2D" w:rsidP="003F2B4F">
            <w:pPr>
              <w:jc w:val="right"/>
              <w:rPr>
                <w:rFonts w:ascii="Calibri" w:hAnsi="Calibri"/>
                <w:sz w:val="24"/>
                <w:szCs w:val="24"/>
              </w:rPr>
            </w:pPr>
            <w:r>
              <w:rPr>
                <w:rFonts w:ascii="Calibri" w:hAnsi="Calibri"/>
                <w:sz w:val="24"/>
                <w:szCs w:val="24"/>
              </w:rPr>
              <w:t>0</w:t>
            </w:r>
          </w:p>
        </w:tc>
        <w:tc>
          <w:tcPr>
            <w:tcW w:w="1524" w:type="dxa"/>
          </w:tcPr>
          <w:p w:rsidR="00201B2D" w:rsidRPr="003F2B4F" w:rsidRDefault="00201B2D" w:rsidP="003F2B4F">
            <w:pPr>
              <w:jc w:val="right"/>
              <w:rPr>
                <w:rFonts w:ascii="Calibri" w:hAnsi="Calibri"/>
                <w:sz w:val="24"/>
                <w:szCs w:val="24"/>
              </w:rPr>
            </w:pPr>
            <w:r>
              <w:rPr>
                <w:rFonts w:ascii="Calibri" w:hAnsi="Calibri"/>
                <w:sz w:val="24"/>
                <w:szCs w:val="24"/>
              </w:rPr>
              <w:t>0</w:t>
            </w:r>
          </w:p>
        </w:tc>
      </w:tr>
      <w:tr w:rsidR="004E1650" w:rsidRPr="003F2B4F" w:rsidTr="003F2B4F">
        <w:tc>
          <w:tcPr>
            <w:tcW w:w="3686" w:type="dxa"/>
          </w:tcPr>
          <w:p w:rsidR="004E1650" w:rsidRPr="003F2B4F" w:rsidRDefault="00504E12" w:rsidP="003F2B4F">
            <w:pPr>
              <w:tabs>
                <w:tab w:val="left" w:pos="270"/>
              </w:tabs>
              <w:jc w:val="both"/>
              <w:rPr>
                <w:rFonts w:ascii="Calibri" w:hAnsi="Calibri"/>
                <w:sz w:val="24"/>
                <w:szCs w:val="24"/>
              </w:rPr>
            </w:pPr>
            <w:proofErr w:type="spellStart"/>
            <w:r w:rsidRPr="003F2B4F">
              <w:rPr>
                <w:rFonts w:ascii="Calibri" w:hAnsi="Calibri"/>
                <w:sz w:val="24"/>
                <w:szCs w:val="24"/>
              </w:rPr>
              <w:t>Conts</w:t>
            </w:r>
            <w:proofErr w:type="spellEnd"/>
            <w:r w:rsidRPr="003F2B4F">
              <w:rPr>
                <w:rFonts w:ascii="Calibri" w:hAnsi="Calibri"/>
                <w:sz w:val="24"/>
                <w:szCs w:val="24"/>
              </w:rPr>
              <w:t xml:space="preserve"> </w:t>
            </w:r>
            <w:r w:rsidR="001C0AF2" w:rsidRPr="003F2B4F">
              <w:rPr>
                <w:rFonts w:ascii="Calibri" w:hAnsi="Calibri"/>
                <w:sz w:val="24"/>
                <w:szCs w:val="24"/>
              </w:rPr>
              <w:t>(</w:t>
            </w:r>
            <w:r w:rsidRPr="003F2B4F">
              <w:rPr>
                <w:rFonts w:ascii="Calibri" w:hAnsi="Calibri"/>
                <w:sz w:val="24"/>
                <w:szCs w:val="24"/>
              </w:rPr>
              <w:t>To</w:t>
            </w:r>
            <w:r w:rsidR="001C0AF2" w:rsidRPr="003F2B4F">
              <w:rPr>
                <w:rFonts w:ascii="Calibri" w:hAnsi="Calibri"/>
                <w:sz w:val="24"/>
                <w:szCs w:val="24"/>
              </w:rPr>
              <w:t>)</w:t>
            </w:r>
            <w:r w:rsidRPr="003F2B4F">
              <w:rPr>
                <w:rFonts w:ascii="Calibri" w:hAnsi="Calibri"/>
                <w:sz w:val="24"/>
                <w:szCs w:val="24"/>
              </w:rPr>
              <w:t>/</w:t>
            </w:r>
            <w:r w:rsidR="001C0AF2" w:rsidRPr="003F2B4F">
              <w:rPr>
                <w:rFonts w:ascii="Calibri" w:hAnsi="Calibri"/>
                <w:sz w:val="24"/>
                <w:szCs w:val="24"/>
              </w:rPr>
              <w:t xml:space="preserve"> From</w:t>
            </w:r>
            <w:r w:rsidRPr="003F2B4F">
              <w:rPr>
                <w:rFonts w:ascii="Calibri" w:hAnsi="Calibri"/>
                <w:sz w:val="24"/>
                <w:szCs w:val="24"/>
              </w:rPr>
              <w:t xml:space="preserve"> Reserves</w:t>
            </w:r>
          </w:p>
        </w:tc>
        <w:tc>
          <w:tcPr>
            <w:tcW w:w="1523" w:type="dxa"/>
          </w:tcPr>
          <w:p w:rsidR="004E1650" w:rsidRPr="003F2B4F" w:rsidRDefault="00E11B70" w:rsidP="003F2B4F">
            <w:pPr>
              <w:jc w:val="right"/>
              <w:rPr>
                <w:rFonts w:ascii="Calibri" w:hAnsi="Calibri"/>
                <w:sz w:val="24"/>
                <w:szCs w:val="24"/>
              </w:rPr>
            </w:pPr>
            <w:r w:rsidRPr="003F2B4F">
              <w:rPr>
                <w:rFonts w:ascii="Calibri" w:hAnsi="Calibri"/>
                <w:sz w:val="24"/>
                <w:szCs w:val="24"/>
              </w:rPr>
              <w:t>(</w:t>
            </w:r>
            <w:r w:rsidR="001C0AF2" w:rsidRPr="003F2B4F">
              <w:rPr>
                <w:rFonts w:ascii="Calibri" w:hAnsi="Calibri"/>
                <w:sz w:val="24"/>
                <w:szCs w:val="24"/>
              </w:rPr>
              <w:t>880</w:t>
            </w:r>
            <w:r w:rsidR="003B02E5" w:rsidRPr="003F2B4F">
              <w:rPr>
                <w:rFonts w:ascii="Calibri" w:hAnsi="Calibri"/>
                <w:sz w:val="24"/>
                <w:szCs w:val="24"/>
              </w:rPr>
              <w:t>)</w:t>
            </w:r>
          </w:p>
        </w:tc>
        <w:tc>
          <w:tcPr>
            <w:tcW w:w="1524" w:type="dxa"/>
          </w:tcPr>
          <w:p w:rsidR="004E1650" w:rsidRPr="003F2B4F" w:rsidRDefault="00201B2D" w:rsidP="003F2B4F">
            <w:pPr>
              <w:jc w:val="right"/>
              <w:rPr>
                <w:rFonts w:ascii="Calibri" w:hAnsi="Calibri"/>
                <w:sz w:val="24"/>
                <w:szCs w:val="24"/>
              </w:rPr>
            </w:pPr>
            <w:r>
              <w:rPr>
                <w:rFonts w:ascii="Calibri" w:hAnsi="Calibri"/>
                <w:sz w:val="24"/>
                <w:szCs w:val="24"/>
              </w:rPr>
              <w:t>0</w:t>
            </w:r>
          </w:p>
        </w:tc>
        <w:tc>
          <w:tcPr>
            <w:tcW w:w="1524" w:type="dxa"/>
          </w:tcPr>
          <w:p w:rsidR="004E1650" w:rsidRPr="003F2B4F" w:rsidRDefault="004B6B27" w:rsidP="003F2B4F">
            <w:pPr>
              <w:jc w:val="right"/>
              <w:rPr>
                <w:rFonts w:ascii="Calibri" w:hAnsi="Calibri"/>
                <w:sz w:val="24"/>
                <w:szCs w:val="24"/>
              </w:rPr>
            </w:pPr>
            <w:r w:rsidRPr="003F2B4F">
              <w:rPr>
                <w:rFonts w:ascii="Calibri" w:hAnsi="Calibri"/>
                <w:sz w:val="24"/>
                <w:szCs w:val="24"/>
              </w:rPr>
              <w:t>1,189</w:t>
            </w:r>
          </w:p>
        </w:tc>
        <w:tc>
          <w:tcPr>
            <w:tcW w:w="1524" w:type="dxa"/>
          </w:tcPr>
          <w:p w:rsidR="004E1650" w:rsidRPr="003F2B4F" w:rsidRDefault="004B6B27" w:rsidP="003F2B4F">
            <w:pPr>
              <w:jc w:val="right"/>
              <w:rPr>
                <w:rFonts w:ascii="Calibri" w:hAnsi="Calibri"/>
                <w:sz w:val="24"/>
                <w:szCs w:val="24"/>
              </w:rPr>
            </w:pPr>
            <w:r w:rsidRPr="003F2B4F">
              <w:rPr>
                <w:rFonts w:ascii="Calibri" w:hAnsi="Calibri"/>
                <w:sz w:val="24"/>
                <w:szCs w:val="24"/>
              </w:rPr>
              <w:t>1,23</w:t>
            </w:r>
            <w:r w:rsidR="0097430C" w:rsidRPr="003F2B4F">
              <w:rPr>
                <w:rFonts w:ascii="Calibri" w:hAnsi="Calibri"/>
                <w:sz w:val="24"/>
                <w:szCs w:val="24"/>
              </w:rPr>
              <w:t>0</w:t>
            </w:r>
          </w:p>
        </w:tc>
      </w:tr>
    </w:tbl>
    <w:p w:rsidR="00A67DD7" w:rsidRPr="003F2B4F" w:rsidRDefault="00A67DD7" w:rsidP="003F2B4F">
      <w:pPr>
        <w:spacing w:after="0" w:line="240" w:lineRule="auto"/>
        <w:jc w:val="both"/>
        <w:rPr>
          <w:rFonts w:ascii="Calibri" w:hAnsi="Calibri"/>
          <w:sz w:val="24"/>
          <w:szCs w:val="24"/>
          <w:u w:val="single"/>
        </w:rPr>
      </w:pPr>
    </w:p>
    <w:p w:rsidR="00624D71" w:rsidRDefault="003B02E5" w:rsidP="003F2B4F">
      <w:pPr>
        <w:spacing w:after="0" w:line="240" w:lineRule="auto"/>
        <w:jc w:val="both"/>
        <w:rPr>
          <w:rFonts w:ascii="Calibri" w:hAnsi="Calibri"/>
          <w:sz w:val="24"/>
          <w:szCs w:val="24"/>
        </w:rPr>
      </w:pPr>
      <w:r w:rsidRPr="003F2B4F">
        <w:rPr>
          <w:rFonts w:ascii="Calibri" w:hAnsi="Calibri"/>
          <w:sz w:val="24"/>
          <w:szCs w:val="24"/>
        </w:rPr>
        <w:t xml:space="preserve">A </w:t>
      </w:r>
      <w:r w:rsidR="00BB023D" w:rsidRPr="003F2B4F">
        <w:rPr>
          <w:rFonts w:ascii="Calibri" w:hAnsi="Calibri"/>
          <w:sz w:val="24"/>
          <w:szCs w:val="24"/>
        </w:rPr>
        <w:t>Council Tax freeze</w:t>
      </w:r>
      <w:r w:rsidRPr="003F2B4F">
        <w:rPr>
          <w:rFonts w:ascii="Calibri" w:hAnsi="Calibri"/>
          <w:sz w:val="24"/>
          <w:szCs w:val="24"/>
        </w:rPr>
        <w:t xml:space="preserve"> during 2019/20 would result in an additional £0.128m contribution from reserves in that year. This would also mean the shortfalls in the further three financial years increase by £0.133m in 2020/21, £0.137m in 2021/22 and £0.141m in 2022/</w:t>
      </w:r>
      <w:r w:rsidR="00820AD0" w:rsidRPr="003F2B4F">
        <w:rPr>
          <w:rFonts w:ascii="Calibri" w:hAnsi="Calibri"/>
          <w:sz w:val="24"/>
          <w:szCs w:val="24"/>
        </w:rPr>
        <w:t>23.</w:t>
      </w:r>
    </w:p>
    <w:p w:rsidR="00201B2D" w:rsidRDefault="00201B2D" w:rsidP="003F2B4F">
      <w:pPr>
        <w:spacing w:after="0" w:line="240" w:lineRule="auto"/>
        <w:jc w:val="both"/>
        <w:rPr>
          <w:rFonts w:ascii="Calibri" w:hAnsi="Calibri"/>
          <w:sz w:val="24"/>
          <w:szCs w:val="24"/>
        </w:rPr>
      </w:pPr>
    </w:p>
    <w:p w:rsidR="00201B2D" w:rsidRDefault="00201B2D" w:rsidP="003F2B4F">
      <w:pPr>
        <w:spacing w:after="0" w:line="240" w:lineRule="auto"/>
        <w:jc w:val="both"/>
        <w:rPr>
          <w:rFonts w:ascii="Calibri" w:hAnsi="Calibri"/>
          <w:sz w:val="24"/>
          <w:szCs w:val="24"/>
        </w:rPr>
      </w:pPr>
      <w:r>
        <w:rPr>
          <w:rFonts w:ascii="Calibri" w:hAnsi="Calibri"/>
          <w:sz w:val="24"/>
          <w:szCs w:val="24"/>
        </w:rPr>
        <w:t>The budget gap</w:t>
      </w:r>
      <w:r w:rsidR="0062089B">
        <w:rPr>
          <w:rFonts w:ascii="Calibri" w:hAnsi="Calibri"/>
          <w:sz w:val="24"/>
          <w:szCs w:val="24"/>
        </w:rPr>
        <w:t xml:space="preserve"> of £1.230m </w:t>
      </w:r>
      <w:proofErr w:type="spellStart"/>
      <w:r w:rsidR="0062089B">
        <w:rPr>
          <w:rFonts w:ascii="Calibri" w:hAnsi="Calibri"/>
          <w:sz w:val="24"/>
          <w:szCs w:val="24"/>
        </w:rPr>
        <w:t>upto</w:t>
      </w:r>
      <w:proofErr w:type="spellEnd"/>
      <w:r w:rsidR="00121CF1">
        <w:rPr>
          <w:rFonts w:ascii="Calibri" w:hAnsi="Calibri"/>
          <w:sz w:val="24"/>
          <w:szCs w:val="24"/>
        </w:rPr>
        <w:t xml:space="preserve"> 2022/23 will be met by a combination of initiatives:</w:t>
      </w:r>
    </w:p>
    <w:p w:rsidR="00121CF1" w:rsidRDefault="00121CF1" w:rsidP="003F2B4F">
      <w:pPr>
        <w:spacing w:after="0" w:line="240" w:lineRule="auto"/>
        <w:jc w:val="both"/>
        <w:rPr>
          <w:rFonts w:ascii="Calibri" w:hAnsi="Calibri"/>
          <w:sz w:val="24"/>
          <w:szCs w:val="24"/>
        </w:rPr>
      </w:pPr>
    </w:p>
    <w:p w:rsidR="00121CF1" w:rsidRDefault="00121CF1" w:rsidP="00121CF1">
      <w:pPr>
        <w:pStyle w:val="ListParagraph"/>
        <w:numPr>
          <w:ilvl w:val="0"/>
          <w:numId w:val="13"/>
        </w:numPr>
        <w:spacing w:after="0" w:line="240" w:lineRule="auto"/>
        <w:jc w:val="both"/>
        <w:rPr>
          <w:rFonts w:ascii="Calibri" w:hAnsi="Calibri"/>
          <w:sz w:val="24"/>
          <w:szCs w:val="24"/>
        </w:rPr>
      </w:pPr>
      <w:r>
        <w:rPr>
          <w:rFonts w:ascii="Calibri" w:hAnsi="Calibri"/>
          <w:sz w:val="24"/>
          <w:szCs w:val="24"/>
        </w:rPr>
        <w:t>Additional business rates income from the change in national po</w:t>
      </w:r>
      <w:r w:rsidR="00A2421E">
        <w:rPr>
          <w:rFonts w:ascii="Calibri" w:hAnsi="Calibri"/>
          <w:sz w:val="24"/>
          <w:szCs w:val="24"/>
        </w:rPr>
        <w:t>licy to 75% retention of growth</w:t>
      </w:r>
    </w:p>
    <w:p w:rsidR="00121CF1" w:rsidRDefault="00121CF1" w:rsidP="00121CF1">
      <w:pPr>
        <w:pStyle w:val="ListParagraph"/>
        <w:numPr>
          <w:ilvl w:val="0"/>
          <w:numId w:val="13"/>
        </w:numPr>
        <w:spacing w:after="0" w:line="240" w:lineRule="auto"/>
        <w:jc w:val="both"/>
        <w:rPr>
          <w:rFonts w:ascii="Calibri" w:hAnsi="Calibri"/>
          <w:sz w:val="24"/>
          <w:szCs w:val="24"/>
        </w:rPr>
      </w:pPr>
      <w:r>
        <w:rPr>
          <w:rFonts w:ascii="Calibri" w:hAnsi="Calibri"/>
          <w:sz w:val="24"/>
          <w:szCs w:val="24"/>
        </w:rPr>
        <w:t>Return from Arkwood Limited (minimum £500k)</w:t>
      </w:r>
    </w:p>
    <w:p w:rsidR="00121CF1" w:rsidRDefault="00121CF1" w:rsidP="00121CF1">
      <w:pPr>
        <w:pStyle w:val="ListParagraph"/>
        <w:numPr>
          <w:ilvl w:val="0"/>
          <w:numId w:val="13"/>
        </w:numPr>
        <w:spacing w:after="0" w:line="240" w:lineRule="auto"/>
        <w:jc w:val="both"/>
        <w:rPr>
          <w:rFonts w:ascii="Calibri" w:hAnsi="Calibri"/>
          <w:sz w:val="24"/>
          <w:szCs w:val="24"/>
        </w:rPr>
      </w:pPr>
      <w:r>
        <w:rPr>
          <w:rFonts w:ascii="Calibri" w:hAnsi="Calibri"/>
          <w:sz w:val="24"/>
          <w:szCs w:val="24"/>
        </w:rPr>
        <w:t>Commercial and Investment income (minimum £200k)</w:t>
      </w:r>
    </w:p>
    <w:p w:rsidR="00121CF1" w:rsidRPr="00121CF1" w:rsidRDefault="00121CF1" w:rsidP="00121CF1">
      <w:pPr>
        <w:pStyle w:val="ListParagraph"/>
        <w:numPr>
          <w:ilvl w:val="0"/>
          <w:numId w:val="13"/>
        </w:numPr>
        <w:spacing w:after="0" w:line="240" w:lineRule="auto"/>
        <w:jc w:val="both"/>
        <w:rPr>
          <w:rFonts w:ascii="Calibri" w:hAnsi="Calibri"/>
          <w:sz w:val="24"/>
          <w:szCs w:val="24"/>
        </w:rPr>
      </w:pPr>
      <w:r>
        <w:rPr>
          <w:rFonts w:ascii="Calibri" w:hAnsi="Calibri"/>
          <w:sz w:val="24"/>
          <w:szCs w:val="24"/>
        </w:rPr>
        <w:t>Service reviews (minimum £150k)</w:t>
      </w:r>
    </w:p>
    <w:p w:rsidR="003F2B4F" w:rsidRPr="003F2B4F" w:rsidRDefault="003F2B4F" w:rsidP="003F2B4F">
      <w:pPr>
        <w:spacing w:after="0" w:line="240" w:lineRule="auto"/>
        <w:jc w:val="both"/>
        <w:rPr>
          <w:rFonts w:ascii="Calibri" w:hAnsi="Calibri"/>
          <w:sz w:val="24"/>
          <w:szCs w:val="24"/>
        </w:rPr>
      </w:pPr>
    </w:p>
    <w:p w:rsidR="00820AD0" w:rsidRPr="003F2B4F" w:rsidRDefault="0078035F" w:rsidP="003F2B4F">
      <w:pPr>
        <w:spacing w:after="0" w:line="240" w:lineRule="auto"/>
        <w:jc w:val="both"/>
        <w:rPr>
          <w:rFonts w:ascii="Calibri" w:hAnsi="Calibri"/>
          <w:b/>
          <w:sz w:val="24"/>
          <w:szCs w:val="24"/>
        </w:rPr>
      </w:pPr>
      <w:r w:rsidRPr="003F2B4F">
        <w:rPr>
          <w:rFonts w:ascii="Calibri" w:hAnsi="Calibri"/>
          <w:b/>
          <w:sz w:val="24"/>
          <w:szCs w:val="24"/>
        </w:rPr>
        <w:t>1.2</w:t>
      </w:r>
      <w:r w:rsidRPr="003F2B4F">
        <w:rPr>
          <w:rFonts w:ascii="Calibri" w:hAnsi="Calibri"/>
          <w:b/>
          <w:sz w:val="24"/>
          <w:szCs w:val="24"/>
        </w:rPr>
        <w:tab/>
      </w:r>
      <w:r w:rsidR="00820AD0" w:rsidRPr="003F2B4F">
        <w:rPr>
          <w:rFonts w:ascii="Calibri" w:hAnsi="Calibri"/>
          <w:b/>
          <w:sz w:val="24"/>
          <w:szCs w:val="24"/>
          <w:u w:val="single"/>
        </w:rPr>
        <w:t>Financial Landscape</w:t>
      </w:r>
    </w:p>
    <w:p w:rsidR="003F2B4F" w:rsidRDefault="003F2B4F" w:rsidP="003F2B4F">
      <w:pPr>
        <w:spacing w:after="0" w:line="240" w:lineRule="auto"/>
        <w:jc w:val="both"/>
        <w:rPr>
          <w:rFonts w:ascii="Calibri" w:hAnsi="Calibri"/>
          <w:sz w:val="24"/>
          <w:szCs w:val="24"/>
        </w:rPr>
      </w:pPr>
    </w:p>
    <w:p w:rsidR="00624D71" w:rsidRPr="003F2B4F" w:rsidRDefault="00624D71" w:rsidP="003F2B4F">
      <w:pPr>
        <w:spacing w:after="0" w:line="240" w:lineRule="auto"/>
        <w:jc w:val="both"/>
        <w:rPr>
          <w:rFonts w:ascii="Calibri" w:hAnsi="Calibri"/>
          <w:sz w:val="24"/>
          <w:szCs w:val="24"/>
        </w:rPr>
      </w:pPr>
      <w:r w:rsidRPr="003F2B4F">
        <w:rPr>
          <w:rFonts w:ascii="Calibri" w:hAnsi="Calibri"/>
          <w:sz w:val="24"/>
          <w:szCs w:val="24"/>
        </w:rPr>
        <w:t>The year 2019/20 is the final year of the four year financial settlement provided by the Government. This settlement was awarded on publishing an efficiency strategy during October 2016 and gave</w:t>
      </w:r>
      <w:r w:rsidR="00C35438" w:rsidRPr="003F2B4F">
        <w:rPr>
          <w:rFonts w:ascii="Calibri" w:hAnsi="Calibri"/>
          <w:sz w:val="24"/>
          <w:szCs w:val="24"/>
        </w:rPr>
        <w:t xml:space="preserve"> some limited</w:t>
      </w:r>
      <w:r w:rsidR="0005288D" w:rsidRPr="003F2B4F">
        <w:rPr>
          <w:rFonts w:ascii="Calibri" w:hAnsi="Calibri"/>
          <w:sz w:val="24"/>
          <w:szCs w:val="24"/>
        </w:rPr>
        <w:t xml:space="preserve"> </w:t>
      </w:r>
      <w:r w:rsidRPr="003F2B4F">
        <w:rPr>
          <w:rFonts w:ascii="Calibri" w:hAnsi="Calibri"/>
          <w:sz w:val="24"/>
          <w:szCs w:val="24"/>
        </w:rPr>
        <w:t>certainty over funding for the four year period from 2016/17. This has assisted with future planning of funding up</w:t>
      </w:r>
      <w:r w:rsidR="00CC1D5F" w:rsidRPr="003F2B4F">
        <w:rPr>
          <w:rFonts w:ascii="Calibri" w:hAnsi="Calibri"/>
          <w:sz w:val="24"/>
          <w:szCs w:val="24"/>
        </w:rPr>
        <w:t xml:space="preserve"> </w:t>
      </w:r>
      <w:r w:rsidRPr="003F2B4F">
        <w:rPr>
          <w:rFonts w:ascii="Calibri" w:hAnsi="Calibri"/>
          <w:sz w:val="24"/>
          <w:szCs w:val="24"/>
        </w:rPr>
        <w:t>to 2019/20, but looking further than that is still difficult due to a lack of clarity nationally a</w:t>
      </w:r>
      <w:r w:rsidR="00277F6B" w:rsidRPr="003F2B4F">
        <w:rPr>
          <w:rFonts w:ascii="Calibri" w:hAnsi="Calibri"/>
          <w:sz w:val="24"/>
          <w:szCs w:val="24"/>
        </w:rPr>
        <w:t>round Local Government Funding. With the end of the current spending review period due in 2020</w:t>
      </w:r>
      <w:r w:rsidR="00C471F1" w:rsidRPr="003F2B4F">
        <w:rPr>
          <w:rFonts w:ascii="Calibri" w:hAnsi="Calibri"/>
          <w:sz w:val="24"/>
          <w:szCs w:val="24"/>
        </w:rPr>
        <w:t xml:space="preserve"> together with the reform of the Business Rates retention system and the fair funding review</w:t>
      </w:r>
      <w:r w:rsidR="00277F6B" w:rsidRPr="003F2B4F">
        <w:rPr>
          <w:rFonts w:ascii="Calibri" w:hAnsi="Calibri"/>
          <w:sz w:val="24"/>
          <w:szCs w:val="24"/>
        </w:rPr>
        <w:t xml:space="preserve">, estimates of funding are uncertain. </w:t>
      </w:r>
    </w:p>
    <w:p w:rsidR="00C471F1" w:rsidRPr="003F2B4F" w:rsidRDefault="00C471F1" w:rsidP="003F2B4F">
      <w:pPr>
        <w:spacing w:after="0" w:line="240" w:lineRule="auto"/>
        <w:jc w:val="both"/>
        <w:rPr>
          <w:rFonts w:ascii="Calibri" w:hAnsi="Calibri"/>
          <w:sz w:val="24"/>
          <w:szCs w:val="24"/>
        </w:rPr>
      </w:pPr>
    </w:p>
    <w:p w:rsidR="00820AD0" w:rsidRPr="003F2B4F" w:rsidRDefault="0078035F" w:rsidP="003F2B4F">
      <w:pPr>
        <w:spacing w:after="0" w:line="240" w:lineRule="auto"/>
        <w:jc w:val="both"/>
        <w:rPr>
          <w:rFonts w:ascii="Calibri" w:hAnsi="Calibri"/>
          <w:sz w:val="24"/>
          <w:szCs w:val="24"/>
        </w:rPr>
      </w:pPr>
      <w:r w:rsidRPr="003F2B4F">
        <w:rPr>
          <w:rFonts w:ascii="Calibri" w:hAnsi="Calibri"/>
          <w:b/>
          <w:sz w:val="24"/>
          <w:szCs w:val="24"/>
        </w:rPr>
        <w:lastRenderedPageBreak/>
        <w:t>1.3</w:t>
      </w:r>
      <w:r w:rsidRPr="003F2B4F">
        <w:rPr>
          <w:rFonts w:ascii="Calibri" w:hAnsi="Calibri"/>
          <w:sz w:val="24"/>
          <w:szCs w:val="24"/>
        </w:rPr>
        <w:tab/>
      </w:r>
      <w:r w:rsidR="00820AD0" w:rsidRPr="003F2B4F">
        <w:rPr>
          <w:rFonts w:ascii="Calibri" w:hAnsi="Calibri"/>
          <w:b/>
          <w:sz w:val="24"/>
          <w:szCs w:val="24"/>
          <w:u w:val="single"/>
        </w:rPr>
        <w:t>Fair Funding Review</w:t>
      </w:r>
    </w:p>
    <w:p w:rsidR="003F2B4F" w:rsidRDefault="003F2B4F" w:rsidP="003F2B4F">
      <w:pPr>
        <w:spacing w:after="0" w:line="240" w:lineRule="auto"/>
        <w:jc w:val="both"/>
        <w:rPr>
          <w:rFonts w:ascii="Calibri" w:hAnsi="Calibri"/>
          <w:sz w:val="24"/>
          <w:szCs w:val="24"/>
        </w:rPr>
      </w:pPr>
    </w:p>
    <w:p w:rsidR="00223C95" w:rsidRDefault="00277F6B" w:rsidP="003F2B4F">
      <w:pPr>
        <w:spacing w:after="0" w:line="240" w:lineRule="auto"/>
        <w:jc w:val="both"/>
        <w:rPr>
          <w:rFonts w:ascii="Calibri" w:hAnsi="Calibri"/>
          <w:sz w:val="24"/>
          <w:szCs w:val="24"/>
        </w:rPr>
      </w:pPr>
      <w:r w:rsidRPr="003F2B4F">
        <w:rPr>
          <w:rFonts w:ascii="Calibri" w:hAnsi="Calibri"/>
          <w:sz w:val="24"/>
          <w:szCs w:val="24"/>
        </w:rPr>
        <w:t>Funding baselines, as determined by the Local Government Settlement, are based upon an assessment of Local Authorities’ relative need and resources. The methodology has been in place for ove</w:t>
      </w:r>
      <w:r w:rsidR="00C471F1" w:rsidRPr="003F2B4F">
        <w:rPr>
          <w:rFonts w:ascii="Calibri" w:hAnsi="Calibri"/>
          <w:sz w:val="24"/>
          <w:szCs w:val="24"/>
        </w:rPr>
        <w:t>r 10 years and the Government feels that reform is needed to rebalance where funding is allocated.</w:t>
      </w:r>
      <w:r w:rsidR="00223C95" w:rsidRPr="003F2B4F">
        <w:rPr>
          <w:rFonts w:ascii="Calibri" w:hAnsi="Calibri"/>
          <w:sz w:val="24"/>
          <w:szCs w:val="24"/>
        </w:rPr>
        <w:t xml:space="preserve"> A consultation paper was issued during December seeking views on the approach to measuring the relative needs and resources of local authorities which will determine new baseline funding allocations for local authorities in England in 2020-21.</w:t>
      </w:r>
    </w:p>
    <w:p w:rsidR="003F2B4F" w:rsidRDefault="003F2B4F" w:rsidP="003F2B4F">
      <w:pPr>
        <w:spacing w:after="0" w:line="240" w:lineRule="auto"/>
        <w:jc w:val="both"/>
        <w:rPr>
          <w:rFonts w:ascii="Calibri" w:hAnsi="Calibri"/>
          <w:sz w:val="24"/>
          <w:szCs w:val="24"/>
        </w:rPr>
      </w:pPr>
    </w:p>
    <w:p w:rsidR="00223C95" w:rsidRDefault="00223C95" w:rsidP="003F2B4F">
      <w:pPr>
        <w:spacing w:after="0" w:line="240" w:lineRule="auto"/>
        <w:jc w:val="both"/>
        <w:rPr>
          <w:rFonts w:ascii="Calibri" w:hAnsi="Calibri"/>
          <w:sz w:val="24"/>
          <w:szCs w:val="24"/>
        </w:rPr>
      </w:pPr>
      <w:r w:rsidRPr="003F2B4F">
        <w:rPr>
          <w:rFonts w:ascii="Calibri" w:hAnsi="Calibri"/>
          <w:sz w:val="24"/>
          <w:szCs w:val="24"/>
        </w:rPr>
        <w:t>The consultation:</w:t>
      </w:r>
    </w:p>
    <w:p w:rsidR="003F2B4F" w:rsidRPr="003F2B4F" w:rsidRDefault="003F2B4F" w:rsidP="003F2B4F">
      <w:pPr>
        <w:spacing w:after="0" w:line="240" w:lineRule="auto"/>
        <w:jc w:val="both"/>
        <w:rPr>
          <w:rFonts w:ascii="Calibri" w:hAnsi="Calibri"/>
          <w:sz w:val="24"/>
          <w:szCs w:val="24"/>
        </w:rPr>
      </w:pPr>
    </w:p>
    <w:p w:rsidR="00223C95" w:rsidRPr="003F2B4F" w:rsidRDefault="00223C95" w:rsidP="003F2B4F">
      <w:pPr>
        <w:pStyle w:val="ListParagraph"/>
        <w:numPr>
          <w:ilvl w:val="0"/>
          <w:numId w:val="8"/>
        </w:numPr>
        <w:spacing w:after="0" w:line="240" w:lineRule="auto"/>
        <w:jc w:val="both"/>
        <w:rPr>
          <w:rFonts w:ascii="Calibri" w:hAnsi="Calibri"/>
          <w:sz w:val="24"/>
          <w:szCs w:val="24"/>
        </w:rPr>
      </w:pPr>
      <w:r w:rsidRPr="003F2B4F">
        <w:rPr>
          <w:rFonts w:ascii="Calibri" w:hAnsi="Calibri"/>
          <w:sz w:val="24"/>
          <w:szCs w:val="24"/>
        </w:rPr>
        <w:t>Proposed to simplify the assessment of local authorities’ relative needs</w:t>
      </w:r>
    </w:p>
    <w:p w:rsidR="00223C95" w:rsidRPr="003F2B4F" w:rsidRDefault="00223C95" w:rsidP="003F2B4F">
      <w:pPr>
        <w:pStyle w:val="ListParagraph"/>
        <w:numPr>
          <w:ilvl w:val="0"/>
          <w:numId w:val="8"/>
        </w:numPr>
        <w:spacing w:after="0" w:line="240" w:lineRule="auto"/>
        <w:jc w:val="both"/>
        <w:rPr>
          <w:rFonts w:ascii="Calibri" w:hAnsi="Calibri"/>
          <w:sz w:val="24"/>
          <w:szCs w:val="24"/>
        </w:rPr>
      </w:pPr>
      <w:r w:rsidRPr="003F2B4F">
        <w:rPr>
          <w:rFonts w:ascii="Calibri" w:hAnsi="Calibri"/>
          <w:sz w:val="24"/>
          <w:szCs w:val="24"/>
        </w:rPr>
        <w:t>Considered the type of adjustment that will be made to an authority’s relative needs assessment to take account of the relative resources available to them to fund local services</w:t>
      </w:r>
    </w:p>
    <w:p w:rsidR="00223C95" w:rsidRPr="003F2B4F" w:rsidRDefault="00223C95" w:rsidP="003F2B4F">
      <w:pPr>
        <w:pStyle w:val="ListParagraph"/>
        <w:numPr>
          <w:ilvl w:val="0"/>
          <w:numId w:val="8"/>
        </w:numPr>
        <w:spacing w:after="0" w:line="240" w:lineRule="auto"/>
        <w:jc w:val="both"/>
        <w:rPr>
          <w:rFonts w:ascii="Calibri" w:hAnsi="Calibri"/>
          <w:sz w:val="24"/>
          <w:szCs w:val="24"/>
        </w:rPr>
      </w:pPr>
      <w:r w:rsidRPr="003F2B4F">
        <w:rPr>
          <w:rFonts w:ascii="Calibri" w:hAnsi="Calibri"/>
          <w:sz w:val="24"/>
          <w:szCs w:val="24"/>
        </w:rPr>
        <w:t>Proposed a set of principles that will be used to design potential transitional arrangements and examines how the baseline for the purposes of transition should be established.</w:t>
      </w:r>
    </w:p>
    <w:p w:rsidR="003F2B4F" w:rsidRDefault="003F2B4F" w:rsidP="003F2B4F">
      <w:pPr>
        <w:spacing w:after="0" w:line="240" w:lineRule="auto"/>
        <w:jc w:val="both"/>
        <w:rPr>
          <w:rFonts w:ascii="Calibri" w:hAnsi="Calibri"/>
          <w:sz w:val="24"/>
          <w:szCs w:val="24"/>
        </w:rPr>
      </w:pPr>
    </w:p>
    <w:p w:rsidR="0077735B" w:rsidRDefault="0077735B" w:rsidP="003F2B4F">
      <w:pPr>
        <w:spacing w:after="0" w:line="240" w:lineRule="auto"/>
        <w:jc w:val="both"/>
        <w:rPr>
          <w:rFonts w:ascii="Calibri" w:hAnsi="Calibri"/>
          <w:sz w:val="24"/>
          <w:szCs w:val="24"/>
        </w:rPr>
      </w:pPr>
      <w:r w:rsidRPr="003F2B4F">
        <w:rPr>
          <w:rFonts w:ascii="Calibri" w:hAnsi="Calibri"/>
          <w:sz w:val="24"/>
          <w:szCs w:val="24"/>
        </w:rPr>
        <w:t xml:space="preserve">The current funding formula is too complicated and, furthermore, the distribution of funding within it is too weighted towards deprivation. A flatter funding formula which is simpler, more transparent and easier to administer and update is necessary to support a fairer funding </w:t>
      </w:r>
      <w:r w:rsidR="004E53C3" w:rsidRPr="003F2B4F">
        <w:rPr>
          <w:rFonts w:ascii="Calibri" w:hAnsi="Calibri"/>
          <w:sz w:val="24"/>
          <w:szCs w:val="24"/>
        </w:rPr>
        <w:t>distribution</w:t>
      </w:r>
      <w:r w:rsidRPr="003F2B4F">
        <w:rPr>
          <w:rFonts w:ascii="Calibri" w:hAnsi="Calibri"/>
          <w:sz w:val="24"/>
          <w:szCs w:val="24"/>
        </w:rPr>
        <w:t>.</w:t>
      </w:r>
      <w:r w:rsidR="004E53C3" w:rsidRPr="003F2B4F">
        <w:rPr>
          <w:rFonts w:ascii="Calibri" w:hAnsi="Calibri"/>
          <w:sz w:val="24"/>
          <w:szCs w:val="24"/>
        </w:rPr>
        <w:t xml:space="preserve"> </w:t>
      </w:r>
      <w:proofErr w:type="gramStart"/>
      <w:r w:rsidR="004E53C3" w:rsidRPr="003F2B4F">
        <w:rPr>
          <w:rFonts w:ascii="Calibri" w:hAnsi="Calibri"/>
          <w:sz w:val="24"/>
          <w:szCs w:val="24"/>
        </w:rPr>
        <w:t>Analys</w:t>
      </w:r>
      <w:r w:rsidR="0005288D" w:rsidRPr="003F2B4F">
        <w:rPr>
          <w:rFonts w:ascii="Calibri" w:hAnsi="Calibri"/>
          <w:sz w:val="24"/>
          <w:szCs w:val="24"/>
        </w:rPr>
        <w:t>e</w:t>
      </w:r>
      <w:r w:rsidR="004E53C3" w:rsidRPr="003F2B4F">
        <w:rPr>
          <w:rFonts w:ascii="Calibri" w:hAnsi="Calibri"/>
          <w:sz w:val="24"/>
          <w:szCs w:val="24"/>
        </w:rPr>
        <w:t>s undertaken by MHCLG</w:t>
      </w:r>
      <w:r w:rsidR="0005288D" w:rsidRPr="003F2B4F">
        <w:rPr>
          <w:rFonts w:ascii="Calibri" w:hAnsi="Calibri"/>
          <w:sz w:val="24"/>
          <w:szCs w:val="24"/>
        </w:rPr>
        <w:t>,</w:t>
      </w:r>
      <w:r w:rsidR="004E53C3" w:rsidRPr="003F2B4F">
        <w:rPr>
          <w:rFonts w:ascii="Calibri" w:hAnsi="Calibri"/>
          <w:sz w:val="24"/>
          <w:szCs w:val="24"/>
        </w:rPr>
        <w:t xml:space="preserve"> shows that deprivation is only capable of explaining a very small proportion of overall spending within the</w:t>
      </w:r>
      <w:r w:rsidR="0005288D" w:rsidRPr="003F2B4F">
        <w:rPr>
          <w:rFonts w:ascii="Calibri" w:hAnsi="Calibri"/>
          <w:sz w:val="24"/>
          <w:szCs w:val="24"/>
        </w:rPr>
        <w:t xml:space="preserve"> </w:t>
      </w:r>
      <w:r w:rsidR="004E53C3" w:rsidRPr="003F2B4F">
        <w:rPr>
          <w:rFonts w:ascii="Calibri" w:hAnsi="Calibri"/>
          <w:sz w:val="24"/>
          <w:szCs w:val="24"/>
        </w:rPr>
        <w:t>formula.</w:t>
      </w:r>
      <w:proofErr w:type="gramEnd"/>
      <w:r w:rsidR="004E53C3" w:rsidRPr="003F2B4F">
        <w:rPr>
          <w:rFonts w:ascii="Calibri" w:hAnsi="Calibri"/>
          <w:sz w:val="24"/>
          <w:szCs w:val="24"/>
        </w:rPr>
        <w:t xml:space="preserve"> </w:t>
      </w:r>
      <w:r w:rsidR="00DA7A08" w:rsidRPr="003F2B4F">
        <w:rPr>
          <w:rFonts w:ascii="Calibri" w:hAnsi="Calibri"/>
          <w:sz w:val="24"/>
          <w:szCs w:val="24"/>
        </w:rPr>
        <w:t>Proposals to distribute more funding using popul</w:t>
      </w:r>
      <w:r w:rsidR="003C7650" w:rsidRPr="003F2B4F">
        <w:rPr>
          <w:rFonts w:ascii="Calibri" w:hAnsi="Calibri"/>
          <w:sz w:val="24"/>
          <w:szCs w:val="24"/>
        </w:rPr>
        <w:t>ation is supported by evidence, for instance services such as waste service and planning; there is no direct correlation between additional costs for running these services and deprivation.</w:t>
      </w:r>
    </w:p>
    <w:p w:rsidR="003F2B4F" w:rsidRPr="003F2B4F" w:rsidRDefault="003F2B4F" w:rsidP="003F2B4F">
      <w:pPr>
        <w:spacing w:after="0" w:line="240" w:lineRule="auto"/>
        <w:jc w:val="both"/>
        <w:rPr>
          <w:rFonts w:ascii="Calibri" w:hAnsi="Calibri"/>
          <w:sz w:val="24"/>
          <w:szCs w:val="24"/>
        </w:rPr>
      </w:pPr>
    </w:p>
    <w:p w:rsidR="00277F6B" w:rsidRDefault="00277F6B" w:rsidP="003F2B4F">
      <w:pPr>
        <w:spacing w:after="0" w:line="240" w:lineRule="auto"/>
        <w:jc w:val="both"/>
        <w:rPr>
          <w:rFonts w:ascii="Calibri" w:hAnsi="Calibri"/>
          <w:sz w:val="24"/>
          <w:szCs w:val="24"/>
        </w:rPr>
      </w:pPr>
      <w:r w:rsidRPr="003F2B4F">
        <w:rPr>
          <w:rFonts w:ascii="Calibri" w:hAnsi="Calibri"/>
          <w:sz w:val="24"/>
          <w:szCs w:val="24"/>
        </w:rPr>
        <w:t xml:space="preserve">The approach will result in winners and losers. The Government has recognised that the change in formula could result in significant changes to the baseline funding of some Authorities. It therefore intends to introduce transitional arrangements that are fair, transparent and easily </w:t>
      </w:r>
      <w:r w:rsidR="002F2CC4" w:rsidRPr="003F2B4F">
        <w:rPr>
          <w:rFonts w:ascii="Calibri" w:hAnsi="Calibri"/>
          <w:sz w:val="24"/>
          <w:szCs w:val="24"/>
        </w:rPr>
        <w:t>understood so that budgetary impacts can be accommodated. Transitional arrangements will unwind over time.</w:t>
      </w:r>
    </w:p>
    <w:p w:rsidR="003F2B4F" w:rsidRPr="003F2B4F" w:rsidRDefault="003F2B4F" w:rsidP="003F2B4F">
      <w:pPr>
        <w:spacing w:after="0" w:line="240" w:lineRule="auto"/>
        <w:jc w:val="both"/>
        <w:rPr>
          <w:rFonts w:ascii="Calibri" w:hAnsi="Calibri"/>
          <w:sz w:val="24"/>
          <w:szCs w:val="24"/>
        </w:rPr>
      </w:pPr>
    </w:p>
    <w:p w:rsidR="002F2CC4" w:rsidRDefault="002F2CC4" w:rsidP="003F2B4F">
      <w:pPr>
        <w:spacing w:after="0" w:line="240" w:lineRule="auto"/>
        <w:jc w:val="both"/>
        <w:rPr>
          <w:rFonts w:ascii="Calibri" w:hAnsi="Calibri"/>
          <w:sz w:val="24"/>
          <w:szCs w:val="24"/>
        </w:rPr>
      </w:pPr>
      <w:r w:rsidRPr="003F2B4F">
        <w:rPr>
          <w:rFonts w:ascii="Calibri" w:hAnsi="Calibri"/>
          <w:sz w:val="24"/>
          <w:szCs w:val="24"/>
        </w:rPr>
        <w:t>This is important as the Council’s baseline influences the amount of busines</w:t>
      </w:r>
      <w:r w:rsidR="00E11B70" w:rsidRPr="003F2B4F">
        <w:rPr>
          <w:rFonts w:ascii="Calibri" w:hAnsi="Calibri"/>
          <w:sz w:val="24"/>
          <w:szCs w:val="24"/>
        </w:rPr>
        <w:t>s rates income</w:t>
      </w:r>
      <w:r w:rsidR="008A2766" w:rsidRPr="003F2B4F">
        <w:rPr>
          <w:rFonts w:ascii="Calibri" w:hAnsi="Calibri"/>
          <w:sz w:val="24"/>
          <w:szCs w:val="24"/>
        </w:rPr>
        <w:t xml:space="preserve"> </w:t>
      </w:r>
      <w:r w:rsidR="0005288D" w:rsidRPr="003F2B4F">
        <w:rPr>
          <w:rFonts w:ascii="Calibri" w:hAnsi="Calibri"/>
          <w:sz w:val="24"/>
          <w:szCs w:val="24"/>
        </w:rPr>
        <w:t>it</w:t>
      </w:r>
      <w:r w:rsidR="00E11B70" w:rsidRPr="003F2B4F">
        <w:rPr>
          <w:rFonts w:ascii="Calibri" w:hAnsi="Calibri"/>
          <w:sz w:val="24"/>
          <w:szCs w:val="24"/>
        </w:rPr>
        <w:t xml:space="preserve"> can retain. From 2020/21 and onwards 40</w:t>
      </w:r>
      <w:r w:rsidRPr="003F2B4F">
        <w:rPr>
          <w:rFonts w:ascii="Calibri" w:hAnsi="Calibri"/>
          <w:sz w:val="24"/>
          <w:szCs w:val="24"/>
        </w:rPr>
        <w:t xml:space="preserve">% of the Council’s funding is </w:t>
      </w:r>
      <w:r w:rsidR="00E11B70" w:rsidRPr="003F2B4F">
        <w:rPr>
          <w:rFonts w:ascii="Calibri" w:hAnsi="Calibri"/>
          <w:sz w:val="24"/>
          <w:szCs w:val="24"/>
        </w:rPr>
        <w:t xml:space="preserve">expected to be </w:t>
      </w:r>
      <w:r w:rsidRPr="003F2B4F">
        <w:rPr>
          <w:rFonts w:ascii="Calibri" w:hAnsi="Calibri"/>
          <w:sz w:val="24"/>
          <w:szCs w:val="24"/>
        </w:rPr>
        <w:t>attributable to Business Rates.</w:t>
      </w:r>
    </w:p>
    <w:p w:rsidR="003F2B4F" w:rsidRPr="003F2B4F" w:rsidRDefault="003F2B4F" w:rsidP="003F2B4F">
      <w:pPr>
        <w:spacing w:after="0" w:line="240" w:lineRule="auto"/>
        <w:jc w:val="both"/>
        <w:rPr>
          <w:rFonts w:ascii="Calibri" w:hAnsi="Calibri"/>
          <w:sz w:val="24"/>
          <w:szCs w:val="24"/>
        </w:rPr>
      </w:pPr>
    </w:p>
    <w:p w:rsidR="00820AD0" w:rsidRPr="003F2B4F" w:rsidRDefault="0078035F" w:rsidP="003F2B4F">
      <w:pPr>
        <w:spacing w:after="0" w:line="240" w:lineRule="auto"/>
        <w:jc w:val="both"/>
        <w:rPr>
          <w:rFonts w:ascii="Calibri" w:hAnsi="Calibri"/>
          <w:b/>
          <w:sz w:val="24"/>
          <w:szCs w:val="24"/>
          <w:u w:val="single"/>
        </w:rPr>
      </w:pPr>
      <w:r w:rsidRPr="003F2B4F">
        <w:rPr>
          <w:rFonts w:ascii="Calibri" w:hAnsi="Calibri"/>
          <w:b/>
          <w:sz w:val="24"/>
          <w:szCs w:val="24"/>
        </w:rPr>
        <w:t>1.4</w:t>
      </w:r>
      <w:r w:rsidR="00820AD0" w:rsidRPr="003F2B4F">
        <w:rPr>
          <w:rFonts w:ascii="Calibri" w:hAnsi="Calibri"/>
          <w:b/>
          <w:sz w:val="24"/>
          <w:szCs w:val="24"/>
        </w:rPr>
        <w:tab/>
      </w:r>
      <w:r w:rsidR="00820AD0" w:rsidRPr="003F2B4F">
        <w:rPr>
          <w:rFonts w:ascii="Calibri" w:hAnsi="Calibri"/>
          <w:b/>
          <w:sz w:val="24"/>
          <w:szCs w:val="24"/>
          <w:u w:val="single"/>
        </w:rPr>
        <w:t>Retained Business Rates</w:t>
      </w:r>
    </w:p>
    <w:p w:rsidR="003F2B4F" w:rsidRDefault="003F2B4F" w:rsidP="003F2B4F">
      <w:pPr>
        <w:spacing w:after="0" w:line="240" w:lineRule="auto"/>
        <w:jc w:val="both"/>
        <w:rPr>
          <w:rFonts w:ascii="Calibri" w:hAnsi="Calibri"/>
          <w:sz w:val="24"/>
          <w:szCs w:val="24"/>
        </w:rPr>
      </w:pPr>
    </w:p>
    <w:p w:rsidR="00E45AC6" w:rsidRDefault="002F2CC4" w:rsidP="003F2B4F">
      <w:pPr>
        <w:spacing w:after="0" w:line="240" w:lineRule="auto"/>
        <w:jc w:val="both"/>
        <w:rPr>
          <w:rFonts w:ascii="Calibri" w:hAnsi="Calibri"/>
          <w:sz w:val="24"/>
          <w:szCs w:val="24"/>
        </w:rPr>
      </w:pPr>
      <w:r w:rsidRPr="003F2B4F">
        <w:rPr>
          <w:rFonts w:ascii="Calibri" w:hAnsi="Calibri"/>
          <w:sz w:val="24"/>
          <w:szCs w:val="24"/>
        </w:rPr>
        <w:t xml:space="preserve">The changes </w:t>
      </w:r>
      <w:r w:rsidR="0005288D" w:rsidRPr="003F2B4F">
        <w:rPr>
          <w:rFonts w:ascii="Calibri" w:hAnsi="Calibri"/>
          <w:sz w:val="24"/>
          <w:szCs w:val="24"/>
        </w:rPr>
        <w:t xml:space="preserve">brought by </w:t>
      </w:r>
      <w:r w:rsidRPr="003F2B4F">
        <w:rPr>
          <w:rFonts w:ascii="Calibri" w:hAnsi="Calibri"/>
          <w:sz w:val="24"/>
          <w:szCs w:val="24"/>
        </w:rPr>
        <w:t xml:space="preserve">the Localism of Business Rates now mean that Local Authorities are incentivised to promote economic growth in their area. </w:t>
      </w:r>
      <w:r w:rsidR="00E45AC6" w:rsidRPr="003F2B4F">
        <w:rPr>
          <w:rFonts w:ascii="Calibri" w:hAnsi="Calibri"/>
          <w:sz w:val="24"/>
          <w:szCs w:val="24"/>
        </w:rPr>
        <w:t>From 1</w:t>
      </w:r>
      <w:r w:rsidR="00E45AC6" w:rsidRPr="003F2B4F">
        <w:rPr>
          <w:rFonts w:ascii="Calibri" w:hAnsi="Calibri"/>
          <w:sz w:val="24"/>
          <w:szCs w:val="24"/>
          <w:vertAlign w:val="superscript"/>
        </w:rPr>
        <w:t>st</w:t>
      </w:r>
      <w:r w:rsidR="00E45AC6" w:rsidRPr="003F2B4F">
        <w:rPr>
          <w:rFonts w:ascii="Calibri" w:hAnsi="Calibri"/>
          <w:sz w:val="24"/>
          <w:szCs w:val="24"/>
        </w:rPr>
        <w:t xml:space="preserve"> April 2013, Local Authorities can retain a share of the net income that they receive in Business Rates as funding to meet the cost of service provision. Promoting economic growth and inward investment to the District is </w:t>
      </w:r>
      <w:proofErr w:type="gramStart"/>
      <w:r w:rsidR="00E45AC6" w:rsidRPr="003F2B4F">
        <w:rPr>
          <w:rFonts w:ascii="Calibri" w:hAnsi="Calibri"/>
          <w:sz w:val="24"/>
          <w:szCs w:val="24"/>
        </w:rPr>
        <w:t>key</w:t>
      </w:r>
      <w:proofErr w:type="gramEnd"/>
      <w:r w:rsidR="00E45AC6" w:rsidRPr="003F2B4F">
        <w:rPr>
          <w:rFonts w:ascii="Calibri" w:hAnsi="Calibri"/>
          <w:sz w:val="24"/>
          <w:szCs w:val="24"/>
        </w:rPr>
        <w:t xml:space="preserve"> to ensuring sustainability going forward. With the announcement of the new Comprehensive Spending Review from 2020 (mentioned above) any reset in the baseline may impact the growth already achieved. It is therefore important to monitor this situation and continue the good work already achieved.</w:t>
      </w:r>
    </w:p>
    <w:p w:rsidR="003F2B4F" w:rsidRPr="003F2B4F" w:rsidRDefault="003F2B4F" w:rsidP="003F2B4F">
      <w:pPr>
        <w:spacing w:after="0" w:line="240" w:lineRule="auto"/>
        <w:jc w:val="both"/>
        <w:rPr>
          <w:rFonts w:ascii="Calibri" w:hAnsi="Calibri"/>
          <w:sz w:val="16"/>
          <w:szCs w:val="16"/>
        </w:rPr>
      </w:pPr>
    </w:p>
    <w:p w:rsidR="00097ED6" w:rsidRDefault="00E45AC6" w:rsidP="003F2B4F">
      <w:pPr>
        <w:spacing w:after="0" w:line="240" w:lineRule="auto"/>
        <w:jc w:val="both"/>
        <w:rPr>
          <w:rFonts w:ascii="Calibri" w:hAnsi="Calibri"/>
          <w:sz w:val="24"/>
          <w:szCs w:val="24"/>
        </w:rPr>
      </w:pPr>
      <w:r w:rsidRPr="003F2B4F">
        <w:rPr>
          <w:rFonts w:ascii="Calibri" w:hAnsi="Calibri"/>
          <w:sz w:val="24"/>
          <w:szCs w:val="24"/>
        </w:rPr>
        <w:t xml:space="preserve">The Government has announced </w:t>
      </w:r>
      <w:r w:rsidR="00097ED6" w:rsidRPr="003F2B4F">
        <w:rPr>
          <w:rFonts w:ascii="Calibri" w:hAnsi="Calibri"/>
          <w:sz w:val="24"/>
          <w:szCs w:val="24"/>
        </w:rPr>
        <w:t xml:space="preserve">various policy decisions around </w:t>
      </w:r>
      <w:r w:rsidRPr="003F2B4F">
        <w:rPr>
          <w:rFonts w:ascii="Calibri" w:hAnsi="Calibri"/>
          <w:sz w:val="24"/>
          <w:szCs w:val="24"/>
        </w:rPr>
        <w:t xml:space="preserve">Business Rates </w:t>
      </w:r>
      <w:r w:rsidR="00097ED6" w:rsidRPr="003F2B4F">
        <w:rPr>
          <w:rFonts w:ascii="Calibri" w:hAnsi="Calibri"/>
          <w:sz w:val="24"/>
          <w:szCs w:val="24"/>
        </w:rPr>
        <w:t xml:space="preserve">which will impact on the total amount of income the Council </w:t>
      </w:r>
      <w:r w:rsidR="00694609" w:rsidRPr="003F2B4F">
        <w:rPr>
          <w:rFonts w:ascii="Calibri" w:hAnsi="Calibri"/>
          <w:sz w:val="24"/>
          <w:szCs w:val="24"/>
        </w:rPr>
        <w:t>will be entitled to</w:t>
      </w:r>
      <w:r w:rsidR="00097ED6" w:rsidRPr="003F2B4F">
        <w:rPr>
          <w:rFonts w:ascii="Calibri" w:hAnsi="Calibri"/>
          <w:sz w:val="24"/>
          <w:szCs w:val="24"/>
        </w:rPr>
        <w:t>:-</w:t>
      </w:r>
    </w:p>
    <w:p w:rsidR="003F2B4F" w:rsidRPr="003F2B4F" w:rsidRDefault="003F2B4F" w:rsidP="003F2B4F">
      <w:pPr>
        <w:spacing w:after="0" w:line="240" w:lineRule="auto"/>
        <w:jc w:val="both"/>
        <w:rPr>
          <w:rFonts w:ascii="Calibri" w:hAnsi="Calibri"/>
          <w:sz w:val="16"/>
          <w:szCs w:val="16"/>
        </w:rPr>
      </w:pPr>
    </w:p>
    <w:p w:rsidR="00097ED6" w:rsidRPr="003F2B4F" w:rsidRDefault="00097ED6" w:rsidP="003F2B4F">
      <w:pPr>
        <w:pStyle w:val="ListParagraph"/>
        <w:numPr>
          <w:ilvl w:val="0"/>
          <w:numId w:val="2"/>
        </w:numPr>
        <w:spacing w:after="0" w:line="240" w:lineRule="auto"/>
        <w:jc w:val="both"/>
        <w:rPr>
          <w:rFonts w:ascii="Calibri" w:hAnsi="Calibri"/>
          <w:sz w:val="24"/>
          <w:szCs w:val="24"/>
        </w:rPr>
      </w:pPr>
      <w:r w:rsidRPr="003F2B4F">
        <w:rPr>
          <w:rFonts w:ascii="Calibri" w:hAnsi="Calibri"/>
          <w:sz w:val="24"/>
          <w:szCs w:val="24"/>
        </w:rPr>
        <w:lastRenderedPageBreak/>
        <w:t xml:space="preserve">Business Rates </w:t>
      </w:r>
      <w:r w:rsidR="00E45AC6" w:rsidRPr="003F2B4F">
        <w:rPr>
          <w:rFonts w:ascii="Calibri" w:hAnsi="Calibri"/>
          <w:sz w:val="24"/>
          <w:szCs w:val="24"/>
        </w:rPr>
        <w:t xml:space="preserve">will now increase in line with CPI as opposed to RPI, which means that rates should increase at a lower rate. </w:t>
      </w:r>
    </w:p>
    <w:p w:rsidR="00E45AC6" w:rsidRPr="003F2B4F" w:rsidRDefault="00F25868" w:rsidP="003F2B4F">
      <w:pPr>
        <w:pStyle w:val="ListParagraph"/>
        <w:numPr>
          <w:ilvl w:val="0"/>
          <w:numId w:val="2"/>
        </w:numPr>
        <w:spacing w:after="0" w:line="240" w:lineRule="auto"/>
        <w:jc w:val="both"/>
        <w:rPr>
          <w:rFonts w:ascii="Calibri" w:hAnsi="Calibri"/>
          <w:sz w:val="24"/>
          <w:szCs w:val="24"/>
        </w:rPr>
      </w:pPr>
      <w:r w:rsidRPr="003F2B4F">
        <w:rPr>
          <w:rFonts w:ascii="Calibri" w:hAnsi="Calibri"/>
          <w:sz w:val="24"/>
          <w:szCs w:val="24"/>
        </w:rPr>
        <w:t>Business Rates will be cut by one-third for businesses with a rateable value of less than £51,000 for two years from April 2019.</w:t>
      </w:r>
    </w:p>
    <w:p w:rsidR="003F2B4F" w:rsidRPr="003F2B4F" w:rsidRDefault="003F2B4F" w:rsidP="003F2B4F">
      <w:pPr>
        <w:spacing w:after="0" w:line="240" w:lineRule="auto"/>
        <w:jc w:val="both"/>
        <w:rPr>
          <w:rFonts w:ascii="Calibri" w:hAnsi="Calibri"/>
          <w:sz w:val="16"/>
          <w:szCs w:val="16"/>
        </w:rPr>
      </w:pPr>
    </w:p>
    <w:p w:rsidR="00E45AC6" w:rsidRDefault="00E45AC6" w:rsidP="003F2B4F">
      <w:pPr>
        <w:spacing w:after="0" w:line="240" w:lineRule="auto"/>
        <w:jc w:val="both"/>
        <w:rPr>
          <w:rFonts w:ascii="Calibri" w:hAnsi="Calibri"/>
          <w:sz w:val="24"/>
          <w:szCs w:val="24"/>
        </w:rPr>
      </w:pPr>
      <w:r w:rsidRPr="003F2B4F">
        <w:rPr>
          <w:rFonts w:ascii="Calibri" w:hAnsi="Calibri"/>
          <w:sz w:val="24"/>
          <w:szCs w:val="24"/>
        </w:rPr>
        <w:t>Section 31 grants are the Governments way of compensating Local Authorities for the policy decisions that they take</w:t>
      </w:r>
      <w:r w:rsidR="00097ED6" w:rsidRPr="003F2B4F">
        <w:rPr>
          <w:rFonts w:ascii="Calibri" w:hAnsi="Calibri"/>
          <w:sz w:val="24"/>
          <w:szCs w:val="24"/>
        </w:rPr>
        <w:t xml:space="preserve"> which impact on the total amount of business rates income they can collect</w:t>
      </w:r>
      <w:r w:rsidRPr="003F2B4F">
        <w:rPr>
          <w:rFonts w:ascii="Calibri" w:hAnsi="Calibri"/>
          <w:sz w:val="24"/>
          <w:szCs w:val="24"/>
        </w:rPr>
        <w:t>.</w:t>
      </w:r>
      <w:r w:rsidR="00097ED6" w:rsidRPr="003F2B4F">
        <w:rPr>
          <w:rFonts w:ascii="Calibri" w:hAnsi="Calibri"/>
          <w:sz w:val="24"/>
          <w:szCs w:val="24"/>
        </w:rPr>
        <w:t xml:space="preserve"> </w:t>
      </w:r>
      <w:r w:rsidRPr="003F2B4F">
        <w:rPr>
          <w:rFonts w:ascii="Calibri" w:hAnsi="Calibri"/>
          <w:sz w:val="24"/>
          <w:szCs w:val="24"/>
        </w:rPr>
        <w:t xml:space="preserve"> </w:t>
      </w:r>
      <w:r w:rsidR="00B24C92" w:rsidRPr="003F2B4F">
        <w:rPr>
          <w:rFonts w:ascii="Calibri" w:hAnsi="Calibri"/>
          <w:sz w:val="24"/>
          <w:szCs w:val="24"/>
        </w:rPr>
        <w:t>For 201</w:t>
      </w:r>
      <w:r w:rsidR="00824D92" w:rsidRPr="003F2B4F">
        <w:rPr>
          <w:rFonts w:ascii="Calibri" w:hAnsi="Calibri"/>
          <w:sz w:val="24"/>
          <w:szCs w:val="24"/>
        </w:rPr>
        <w:t>9</w:t>
      </w:r>
      <w:r w:rsidR="00B24C92" w:rsidRPr="003F2B4F">
        <w:rPr>
          <w:rFonts w:ascii="Calibri" w:hAnsi="Calibri"/>
          <w:sz w:val="24"/>
          <w:szCs w:val="24"/>
        </w:rPr>
        <w:t>/</w:t>
      </w:r>
      <w:r w:rsidR="00824D92" w:rsidRPr="003F2B4F">
        <w:rPr>
          <w:rFonts w:ascii="Calibri" w:hAnsi="Calibri"/>
          <w:sz w:val="24"/>
          <w:szCs w:val="24"/>
        </w:rPr>
        <w:t>20</w:t>
      </w:r>
      <w:r w:rsidR="00B24C92" w:rsidRPr="003F2B4F">
        <w:rPr>
          <w:rFonts w:ascii="Calibri" w:hAnsi="Calibri"/>
          <w:sz w:val="24"/>
          <w:szCs w:val="24"/>
        </w:rPr>
        <w:t xml:space="preserve"> </w:t>
      </w:r>
      <w:r w:rsidR="00006B94" w:rsidRPr="003F2B4F">
        <w:rPr>
          <w:rFonts w:ascii="Calibri" w:hAnsi="Calibri"/>
          <w:sz w:val="24"/>
          <w:szCs w:val="24"/>
        </w:rPr>
        <w:t xml:space="preserve">it is estimated that </w:t>
      </w:r>
      <w:r w:rsidR="00B24C92" w:rsidRPr="003F2B4F">
        <w:rPr>
          <w:rFonts w:ascii="Calibri" w:hAnsi="Calibri"/>
          <w:sz w:val="24"/>
          <w:szCs w:val="24"/>
        </w:rPr>
        <w:t>the Council will receive £</w:t>
      </w:r>
      <w:r w:rsidR="009E76C3" w:rsidRPr="003F2B4F">
        <w:rPr>
          <w:rFonts w:ascii="Calibri" w:hAnsi="Calibri"/>
          <w:sz w:val="24"/>
          <w:szCs w:val="24"/>
        </w:rPr>
        <w:t>1.823</w:t>
      </w:r>
      <w:r w:rsidR="00B24C92" w:rsidRPr="003F2B4F">
        <w:rPr>
          <w:rFonts w:ascii="Calibri" w:hAnsi="Calibri"/>
          <w:sz w:val="24"/>
          <w:szCs w:val="24"/>
        </w:rPr>
        <w:t>m in Section 31 grants.</w:t>
      </w:r>
    </w:p>
    <w:p w:rsidR="003F2B4F" w:rsidRPr="003F2B4F" w:rsidRDefault="003F2B4F" w:rsidP="003F2B4F">
      <w:pPr>
        <w:spacing w:after="0" w:line="240" w:lineRule="auto"/>
        <w:jc w:val="both"/>
        <w:rPr>
          <w:rFonts w:ascii="Calibri" w:hAnsi="Calibri"/>
          <w:sz w:val="24"/>
          <w:szCs w:val="24"/>
        </w:rPr>
      </w:pPr>
    </w:p>
    <w:p w:rsidR="002C3393" w:rsidRDefault="002C3393" w:rsidP="003F2B4F">
      <w:pPr>
        <w:spacing w:after="0" w:line="240" w:lineRule="auto"/>
        <w:jc w:val="both"/>
        <w:rPr>
          <w:rFonts w:ascii="Calibri" w:hAnsi="Calibri"/>
          <w:sz w:val="24"/>
          <w:szCs w:val="24"/>
        </w:rPr>
      </w:pPr>
      <w:r w:rsidRPr="003F2B4F">
        <w:rPr>
          <w:rFonts w:ascii="Calibri" w:hAnsi="Calibri"/>
          <w:sz w:val="24"/>
          <w:szCs w:val="24"/>
        </w:rPr>
        <w:t>There are a number of risks that could affect the amount of Business Rate income collected and as such reduce the anticipated amount of Retained Business Rate income. The most significant risks are:</w:t>
      </w:r>
    </w:p>
    <w:p w:rsidR="003F2B4F" w:rsidRPr="003F2B4F" w:rsidRDefault="003F2B4F" w:rsidP="003F2B4F">
      <w:pPr>
        <w:spacing w:after="0" w:line="240" w:lineRule="auto"/>
        <w:jc w:val="both"/>
        <w:rPr>
          <w:rFonts w:ascii="Calibri" w:hAnsi="Calibri"/>
          <w:sz w:val="24"/>
          <w:szCs w:val="24"/>
        </w:rPr>
      </w:pPr>
    </w:p>
    <w:p w:rsidR="00B24C92" w:rsidRPr="003F2B4F" w:rsidRDefault="002C3393" w:rsidP="003F2B4F">
      <w:pPr>
        <w:pStyle w:val="ListParagraph"/>
        <w:numPr>
          <w:ilvl w:val="0"/>
          <w:numId w:val="3"/>
        </w:numPr>
        <w:spacing w:after="0" w:line="240" w:lineRule="auto"/>
        <w:jc w:val="both"/>
        <w:rPr>
          <w:rFonts w:ascii="Calibri" w:hAnsi="Calibri"/>
          <w:sz w:val="24"/>
          <w:szCs w:val="24"/>
        </w:rPr>
      </w:pPr>
      <w:r w:rsidRPr="003F2B4F">
        <w:rPr>
          <w:rFonts w:ascii="Calibri" w:hAnsi="Calibri"/>
          <w:sz w:val="24"/>
          <w:szCs w:val="24"/>
        </w:rPr>
        <w:t>Unpredictable increases in exemptions and reliefs due to different property usage</w:t>
      </w:r>
    </w:p>
    <w:p w:rsidR="002C3393" w:rsidRPr="003F2B4F" w:rsidRDefault="002C3393" w:rsidP="003F2B4F">
      <w:pPr>
        <w:pStyle w:val="ListParagraph"/>
        <w:numPr>
          <w:ilvl w:val="0"/>
          <w:numId w:val="3"/>
        </w:numPr>
        <w:spacing w:after="0" w:line="240" w:lineRule="auto"/>
        <w:jc w:val="both"/>
        <w:rPr>
          <w:rFonts w:ascii="Calibri" w:hAnsi="Calibri"/>
          <w:sz w:val="24"/>
          <w:szCs w:val="24"/>
        </w:rPr>
      </w:pPr>
      <w:r w:rsidRPr="003F2B4F">
        <w:rPr>
          <w:rFonts w:ascii="Calibri" w:hAnsi="Calibri"/>
          <w:sz w:val="24"/>
          <w:szCs w:val="24"/>
        </w:rPr>
        <w:t>Successful Business Rate appeals dating back to earlier years</w:t>
      </w:r>
    </w:p>
    <w:p w:rsidR="002C3393" w:rsidRPr="003F2B4F" w:rsidRDefault="002C3393" w:rsidP="003F2B4F">
      <w:pPr>
        <w:pStyle w:val="ListParagraph"/>
        <w:numPr>
          <w:ilvl w:val="0"/>
          <w:numId w:val="3"/>
        </w:numPr>
        <w:spacing w:after="0" w:line="240" w:lineRule="auto"/>
        <w:jc w:val="both"/>
        <w:rPr>
          <w:rFonts w:ascii="Calibri" w:hAnsi="Calibri"/>
          <w:sz w:val="24"/>
          <w:szCs w:val="24"/>
        </w:rPr>
      </w:pPr>
      <w:r w:rsidRPr="003F2B4F">
        <w:rPr>
          <w:rFonts w:ascii="Calibri" w:hAnsi="Calibri"/>
          <w:sz w:val="24"/>
          <w:szCs w:val="24"/>
        </w:rPr>
        <w:t>Slower than anticipated local economic growth</w:t>
      </w:r>
    </w:p>
    <w:p w:rsidR="002C3393" w:rsidRPr="003F2B4F" w:rsidRDefault="002C3393" w:rsidP="003F2B4F">
      <w:pPr>
        <w:pStyle w:val="ListParagraph"/>
        <w:numPr>
          <w:ilvl w:val="0"/>
          <w:numId w:val="3"/>
        </w:numPr>
        <w:spacing w:after="0" w:line="240" w:lineRule="auto"/>
        <w:jc w:val="both"/>
        <w:rPr>
          <w:rFonts w:ascii="Calibri" w:hAnsi="Calibri"/>
          <w:sz w:val="24"/>
          <w:szCs w:val="24"/>
        </w:rPr>
      </w:pPr>
      <w:r w:rsidRPr="003F2B4F">
        <w:rPr>
          <w:rFonts w:ascii="Calibri" w:hAnsi="Calibri"/>
          <w:sz w:val="24"/>
          <w:szCs w:val="24"/>
        </w:rPr>
        <w:t>CPI increases on the tariff being higher than local economic growth</w:t>
      </w:r>
    </w:p>
    <w:p w:rsidR="002C3393" w:rsidRPr="003F2B4F" w:rsidRDefault="002C3393" w:rsidP="003F2B4F">
      <w:pPr>
        <w:pStyle w:val="ListParagraph"/>
        <w:numPr>
          <w:ilvl w:val="0"/>
          <w:numId w:val="3"/>
        </w:numPr>
        <w:spacing w:after="0" w:line="240" w:lineRule="auto"/>
        <w:jc w:val="both"/>
        <w:rPr>
          <w:rFonts w:ascii="Calibri" w:hAnsi="Calibri"/>
          <w:sz w:val="24"/>
          <w:szCs w:val="24"/>
        </w:rPr>
      </w:pPr>
      <w:r w:rsidRPr="003F2B4F">
        <w:rPr>
          <w:rFonts w:ascii="Calibri" w:hAnsi="Calibri"/>
          <w:sz w:val="24"/>
          <w:szCs w:val="24"/>
        </w:rPr>
        <w:t>Uncollectable debts as a result of worsening economic conditions.</w:t>
      </w:r>
    </w:p>
    <w:p w:rsidR="003F2B4F" w:rsidRDefault="003F2B4F" w:rsidP="003F2B4F">
      <w:pPr>
        <w:spacing w:after="0" w:line="240" w:lineRule="auto"/>
        <w:jc w:val="both"/>
        <w:rPr>
          <w:rFonts w:ascii="Calibri" w:hAnsi="Calibri"/>
          <w:sz w:val="24"/>
          <w:szCs w:val="24"/>
        </w:rPr>
      </w:pPr>
    </w:p>
    <w:p w:rsidR="0035717A" w:rsidRPr="003F2B4F" w:rsidRDefault="0035717A" w:rsidP="003F2B4F">
      <w:pPr>
        <w:spacing w:after="0" w:line="240" w:lineRule="auto"/>
        <w:jc w:val="both"/>
        <w:rPr>
          <w:rFonts w:ascii="Calibri" w:hAnsi="Calibri"/>
          <w:sz w:val="24"/>
          <w:szCs w:val="24"/>
        </w:rPr>
      </w:pPr>
      <w:r w:rsidRPr="003F2B4F">
        <w:rPr>
          <w:rFonts w:ascii="Calibri" w:hAnsi="Calibri"/>
          <w:sz w:val="24"/>
          <w:szCs w:val="24"/>
        </w:rPr>
        <w:t>A national business rates revaluation took effect from 1 April 2017, which increased the rat</w:t>
      </w:r>
      <w:r w:rsidR="005D0B6F" w:rsidRPr="003F2B4F">
        <w:rPr>
          <w:rFonts w:ascii="Calibri" w:hAnsi="Calibri"/>
          <w:sz w:val="24"/>
          <w:szCs w:val="24"/>
        </w:rPr>
        <w:t>e</w:t>
      </w:r>
      <w:r w:rsidRPr="003F2B4F">
        <w:rPr>
          <w:rFonts w:ascii="Calibri" w:hAnsi="Calibri"/>
          <w:sz w:val="24"/>
          <w:szCs w:val="24"/>
        </w:rPr>
        <w:t xml:space="preserve">able value list by </w:t>
      </w:r>
      <w:r w:rsidR="00992E1B" w:rsidRPr="003F2B4F">
        <w:rPr>
          <w:rFonts w:ascii="Calibri" w:hAnsi="Calibri"/>
          <w:sz w:val="24"/>
          <w:szCs w:val="24"/>
        </w:rPr>
        <w:t>£10,346,780</w:t>
      </w:r>
      <w:r w:rsidR="004E4D60" w:rsidRPr="003F2B4F">
        <w:rPr>
          <w:rFonts w:ascii="Calibri" w:hAnsi="Calibri"/>
          <w:sz w:val="24"/>
          <w:szCs w:val="24"/>
        </w:rPr>
        <w:t xml:space="preserve"> for the 2017/18 financial year</w:t>
      </w:r>
      <w:r w:rsidR="00992E1B" w:rsidRPr="003F2B4F">
        <w:rPr>
          <w:rFonts w:ascii="Calibri" w:hAnsi="Calibri"/>
          <w:sz w:val="24"/>
          <w:szCs w:val="24"/>
        </w:rPr>
        <w:t xml:space="preserve">.  </w:t>
      </w:r>
      <w:r w:rsidR="00EE59B5" w:rsidRPr="003F2B4F">
        <w:rPr>
          <w:rFonts w:ascii="Calibri" w:hAnsi="Calibri"/>
          <w:sz w:val="24"/>
          <w:szCs w:val="24"/>
        </w:rPr>
        <w:t>Ratepayers with t</w:t>
      </w:r>
      <w:r w:rsidR="00992E1B" w:rsidRPr="003F2B4F">
        <w:rPr>
          <w:rFonts w:ascii="Calibri" w:hAnsi="Calibri"/>
          <w:sz w:val="24"/>
          <w:szCs w:val="24"/>
        </w:rPr>
        <w:t>he larges</w:t>
      </w:r>
      <w:r w:rsidR="004E4D60" w:rsidRPr="003F2B4F">
        <w:rPr>
          <w:rFonts w:ascii="Calibri" w:hAnsi="Calibri"/>
          <w:sz w:val="24"/>
          <w:szCs w:val="24"/>
        </w:rPr>
        <w:t>t increases in rateable value were</w:t>
      </w:r>
      <w:proofErr w:type="gramStart"/>
      <w:r w:rsidR="00EE59B5" w:rsidRPr="003F2B4F">
        <w:rPr>
          <w:rFonts w:ascii="Calibri" w:hAnsi="Calibri"/>
          <w:sz w:val="24"/>
          <w:szCs w:val="24"/>
        </w:rPr>
        <w:t>:-</w:t>
      </w:r>
      <w:proofErr w:type="gramEnd"/>
      <w:r w:rsidR="009E76C3" w:rsidRPr="003F2B4F">
        <w:rPr>
          <w:rFonts w:ascii="Calibri" w:hAnsi="Calibri"/>
          <w:sz w:val="24"/>
          <w:szCs w:val="24"/>
        </w:rPr>
        <w:t xml:space="preserve"> </w:t>
      </w:r>
      <w:proofErr w:type="spellStart"/>
      <w:r w:rsidR="00992E1B" w:rsidRPr="003F2B4F">
        <w:rPr>
          <w:rFonts w:ascii="Calibri" w:hAnsi="Calibri"/>
          <w:sz w:val="24"/>
          <w:szCs w:val="24"/>
        </w:rPr>
        <w:t>Center</w:t>
      </w:r>
      <w:proofErr w:type="spellEnd"/>
      <w:r w:rsidR="00992E1B" w:rsidRPr="003F2B4F">
        <w:rPr>
          <w:rFonts w:ascii="Calibri" w:hAnsi="Calibri"/>
          <w:sz w:val="24"/>
          <w:szCs w:val="24"/>
        </w:rPr>
        <w:t xml:space="preserve"> </w:t>
      </w:r>
      <w:proofErr w:type="spellStart"/>
      <w:r w:rsidR="00992E1B" w:rsidRPr="003F2B4F">
        <w:rPr>
          <w:rFonts w:ascii="Calibri" w:hAnsi="Calibri"/>
          <w:sz w:val="24"/>
          <w:szCs w:val="24"/>
        </w:rPr>
        <w:t>Parcs</w:t>
      </w:r>
      <w:proofErr w:type="spellEnd"/>
      <w:r w:rsidR="00992E1B" w:rsidRPr="003F2B4F">
        <w:rPr>
          <w:rFonts w:ascii="Calibri" w:hAnsi="Calibri"/>
          <w:sz w:val="24"/>
          <w:szCs w:val="24"/>
        </w:rPr>
        <w:t xml:space="preserve"> (£1,975,000)</w:t>
      </w:r>
      <w:r w:rsidR="00694609" w:rsidRPr="003F2B4F">
        <w:rPr>
          <w:rFonts w:ascii="Calibri" w:hAnsi="Calibri"/>
          <w:sz w:val="24"/>
          <w:szCs w:val="24"/>
        </w:rPr>
        <w:t xml:space="preserve"> and</w:t>
      </w:r>
      <w:r w:rsidR="00EE59B5" w:rsidRPr="003F2B4F">
        <w:rPr>
          <w:rFonts w:ascii="Calibri" w:hAnsi="Calibri"/>
          <w:sz w:val="24"/>
          <w:szCs w:val="24"/>
        </w:rPr>
        <w:t xml:space="preserve">  </w:t>
      </w:r>
      <w:r w:rsidR="00443EA6" w:rsidRPr="003F2B4F">
        <w:rPr>
          <w:rFonts w:ascii="Calibri" w:hAnsi="Calibri"/>
          <w:sz w:val="24"/>
          <w:szCs w:val="24"/>
        </w:rPr>
        <w:t xml:space="preserve">Sherwood Pines Forest Park (£417,000. </w:t>
      </w:r>
      <w:r w:rsidRPr="003F2B4F">
        <w:rPr>
          <w:rFonts w:ascii="Calibri" w:hAnsi="Calibri"/>
          <w:sz w:val="24"/>
          <w:szCs w:val="24"/>
        </w:rPr>
        <w:t xml:space="preserve"> The impact of this saw the total rat</w:t>
      </w:r>
      <w:r w:rsidR="005D0B6F" w:rsidRPr="003F2B4F">
        <w:rPr>
          <w:rFonts w:ascii="Calibri" w:hAnsi="Calibri"/>
          <w:sz w:val="24"/>
          <w:szCs w:val="24"/>
        </w:rPr>
        <w:t>e</w:t>
      </w:r>
      <w:r w:rsidRPr="003F2B4F">
        <w:rPr>
          <w:rFonts w:ascii="Calibri" w:hAnsi="Calibri"/>
          <w:sz w:val="24"/>
          <w:szCs w:val="24"/>
        </w:rPr>
        <w:t xml:space="preserve">able value increase from </w:t>
      </w:r>
      <w:r w:rsidR="00992E1B" w:rsidRPr="003F2B4F">
        <w:rPr>
          <w:rFonts w:ascii="Calibri" w:hAnsi="Calibri"/>
          <w:sz w:val="24"/>
          <w:szCs w:val="24"/>
        </w:rPr>
        <w:t>£92,949,337</w:t>
      </w:r>
      <w:r w:rsidRPr="003F2B4F">
        <w:rPr>
          <w:rFonts w:ascii="Calibri" w:hAnsi="Calibri"/>
          <w:sz w:val="24"/>
          <w:szCs w:val="24"/>
        </w:rPr>
        <w:t xml:space="preserve"> to </w:t>
      </w:r>
      <w:r w:rsidR="005D0B6F" w:rsidRPr="003F2B4F">
        <w:rPr>
          <w:rFonts w:ascii="Calibri" w:hAnsi="Calibri"/>
          <w:sz w:val="24"/>
          <w:szCs w:val="24"/>
        </w:rPr>
        <w:t>£103,296,117</w:t>
      </w:r>
      <w:r w:rsidRPr="003F2B4F">
        <w:rPr>
          <w:rFonts w:ascii="Calibri" w:hAnsi="Calibri"/>
          <w:sz w:val="24"/>
          <w:szCs w:val="24"/>
        </w:rPr>
        <w:t xml:space="preserve">. </w:t>
      </w:r>
      <w:r w:rsidR="004E4D60" w:rsidRPr="003F2B4F">
        <w:rPr>
          <w:rFonts w:ascii="Calibri" w:hAnsi="Calibri"/>
          <w:sz w:val="24"/>
          <w:szCs w:val="24"/>
        </w:rPr>
        <w:t>The anticipated rateable value for 1 April 2019 for the 2019/20 financial year stands at £106,486,370 which includes new business rated hereditaments and altered assessments of rateable value post 1 April 2017.</w:t>
      </w:r>
    </w:p>
    <w:p w:rsidR="003F2B4F" w:rsidRDefault="003F2B4F" w:rsidP="003F2B4F">
      <w:pPr>
        <w:spacing w:after="0" w:line="240" w:lineRule="auto"/>
        <w:jc w:val="both"/>
        <w:rPr>
          <w:rFonts w:ascii="Calibri" w:hAnsi="Calibri"/>
          <w:sz w:val="24"/>
          <w:szCs w:val="24"/>
        </w:rPr>
      </w:pPr>
    </w:p>
    <w:p w:rsidR="002D32D0" w:rsidRDefault="002C3393" w:rsidP="003F2B4F">
      <w:pPr>
        <w:spacing w:after="0" w:line="240" w:lineRule="auto"/>
        <w:jc w:val="both"/>
        <w:rPr>
          <w:rFonts w:ascii="Calibri" w:hAnsi="Calibri"/>
          <w:sz w:val="24"/>
          <w:szCs w:val="24"/>
        </w:rPr>
      </w:pPr>
      <w:r w:rsidRPr="003F2B4F">
        <w:rPr>
          <w:rFonts w:ascii="Calibri" w:hAnsi="Calibri"/>
          <w:sz w:val="24"/>
          <w:szCs w:val="24"/>
        </w:rPr>
        <w:t xml:space="preserve">The Council currently has </w:t>
      </w:r>
      <w:r w:rsidR="004E4D60" w:rsidRPr="003F2B4F">
        <w:rPr>
          <w:rFonts w:ascii="Calibri" w:hAnsi="Calibri"/>
          <w:sz w:val="24"/>
          <w:szCs w:val="24"/>
        </w:rPr>
        <w:t>88</w:t>
      </w:r>
      <w:r w:rsidRPr="003F2B4F">
        <w:rPr>
          <w:rFonts w:ascii="Calibri" w:hAnsi="Calibri"/>
          <w:sz w:val="24"/>
          <w:szCs w:val="24"/>
        </w:rPr>
        <w:t xml:space="preserve"> appeals that have been lodged by Businesses with the VOA outstanding. Should these be successful they would reduce the rat</w:t>
      </w:r>
      <w:r w:rsidR="00827A04" w:rsidRPr="003F2B4F">
        <w:rPr>
          <w:rFonts w:ascii="Calibri" w:hAnsi="Calibri"/>
          <w:sz w:val="24"/>
          <w:szCs w:val="24"/>
        </w:rPr>
        <w:t>e</w:t>
      </w:r>
      <w:r w:rsidRPr="003F2B4F">
        <w:rPr>
          <w:rFonts w:ascii="Calibri" w:hAnsi="Calibri"/>
          <w:sz w:val="24"/>
          <w:szCs w:val="24"/>
        </w:rPr>
        <w:t xml:space="preserve">able value down by </w:t>
      </w:r>
      <w:r w:rsidR="008F02A6" w:rsidRPr="003F2B4F">
        <w:rPr>
          <w:rFonts w:ascii="Calibri" w:hAnsi="Calibri"/>
          <w:sz w:val="24"/>
          <w:szCs w:val="24"/>
        </w:rPr>
        <w:t>£</w:t>
      </w:r>
      <w:r w:rsidR="004E4D60" w:rsidRPr="003F2B4F">
        <w:rPr>
          <w:rFonts w:ascii="Calibri" w:hAnsi="Calibri"/>
          <w:sz w:val="24"/>
          <w:szCs w:val="24"/>
        </w:rPr>
        <w:t>2,338,370</w:t>
      </w:r>
      <w:r w:rsidRPr="003F2B4F">
        <w:rPr>
          <w:rFonts w:ascii="Calibri" w:hAnsi="Calibri"/>
          <w:sz w:val="24"/>
          <w:szCs w:val="24"/>
        </w:rPr>
        <w:t xml:space="preserve">. </w:t>
      </w:r>
      <w:r w:rsidR="002D32D0" w:rsidRPr="003F2B4F">
        <w:rPr>
          <w:rFonts w:ascii="Calibri" w:hAnsi="Calibri"/>
          <w:sz w:val="24"/>
          <w:szCs w:val="24"/>
        </w:rPr>
        <w:t>These appeals relate to the 2010 ratings list for which they are backdated to the 1 April 2010</w:t>
      </w:r>
      <w:r w:rsidRPr="003F2B4F">
        <w:rPr>
          <w:rFonts w:ascii="Calibri" w:hAnsi="Calibri"/>
          <w:sz w:val="24"/>
          <w:szCs w:val="24"/>
        </w:rPr>
        <w:t>.</w:t>
      </w:r>
      <w:r w:rsidR="002D32D0" w:rsidRPr="003F2B4F">
        <w:rPr>
          <w:rFonts w:ascii="Calibri" w:hAnsi="Calibri"/>
          <w:sz w:val="24"/>
          <w:szCs w:val="24"/>
        </w:rPr>
        <w:t xml:space="preserve"> Should these appeals be successfully settled, there will be a one off impact of the settling of the appeal, which will be funded by the NNDR appeals provision on the Councils’ Balance Sheet, but there will be no future impact, as the properties are now rated by the 2017 rateable value listing.</w:t>
      </w:r>
      <w:r w:rsidRPr="003F2B4F">
        <w:rPr>
          <w:rFonts w:ascii="Calibri" w:hAnsi="Calibri"/>
          <w:sz w:val="24"/>
          <w:szCs w:val="24"/>
        </w:rPr>
        <w:t xml:space="preserve"> </w:t>
      </w:r>
      <w:r w:rsidR="00445F5C" w:rsidRPr="003F2B4F">
        <w:rPr>
          <w:rFonts w:ascii="Calibri" w:hAnsi="Calibri"/>
          <w:sz w:val="24"/>
          <w:szCs w:val="24"/>
        </w:rPr>
        <w:t>The one off impact of the settled appeals would amount to £4,046,260.</w:t>
      </w:r>
    </w:p>
    <w:p w:rsidR="003F2B4F" w:rsidRPr="003F2B4F" w:rsidRDefault="003F2B4F" w:rsidP="003F2B4F">
      <w:pPr>
        <w:spacing w:after="0" w:line="240" w:lineRule="auto"/>
        <w:jc w:val="both"/>
        <w:rPr>
          <w:rFonts w:ascii="Calibri" w:hAnsi="Calibri"/>
          <w:sz w:val="24"/>
          <w:szCs w:val="24"/>
        </w:rPr>
      </w:pPr>
    </w:p>
    <w:p w:rsidR="002D32D0" w:rsidRPr="003F2B4F" w:rsidRDefault="002D32D0" w:rsidP="003F2B4F">
      <w:pPr>
        <w:spacing w:after="0" w:line="240" w:lineRule="auto"/>
        <w:jc w:val="both"/>
        <w:rPr>
          <w:rFonts w:ascii="Calibri" w:hAnsi="Calibri"/>
          <w:sz w:val="24"/>
          <w:szCs w:val="24"/>
        </w:rPr>
      </w:pPr>
      <w:r w:rsidRPr="003F2B4F">
        <w:rPr>
          <w:rFonts w:ascii="Calibri" w:hAnsi="Calibri"/>
          <w:sz w:val="24"/>
          <w:szCs w:val="24"/>
        </w:rPr>
        <w:t xml:space="preserve">There are currently 6 challenges against the 2017 list with a combined RV potential reduction of £13,878. Any successful challenges, or should these get to appeal stage and be successful, this will have an impact on the finances of the Council going forward. As described, </w:t>
      </w:r>
      <w:r w:rsidR="00745178" w:rsidRPr="003F2B4F">
        <w:rPr>
          <w:rFonts w:ascii="Calibri" w:hAnsi="Calibri"/>
          <w:sz w:val="24"/>
          <w:szCs w:val="24"/>
        </w:rPr>
        <w:t xml:space="preserve">currently </w:t>
      </w:r>
      <w:r w:rsidRPr="003F2B4F">
        <w:rPr>
          <w:rFonts w:ascii="Calibri" w:hAnsi="Calibri"/>
          <w:sz w:val="24"/>
          <w:szCs w:val="24"/>
        </w:rPr>
        <w:t>there are limited numbers of checks, challenges and appeals agains</w:t>
      </w:r>
      <w:r w:rsidR="00745178" w:rsidRPr="003F2B4F">
        <w:rPr>
          <w:rFonts w:ascii="Calibri" w:hAnsi="Calibri"/>
          <w:sz w:val="24"/>
          <w:szCs w:val="24"/>
        </w:rPr>
        <w:t xml:space="preserve">t the 2017 list, but this does not mean that a greater number of these will not come through at some point. The check and challenge process allows businesses to check the facts held about their property and view their valuation details before deciding whether to challenge their valuation. This minimises uncertainty ensuring businesses reach a resolution quicker. As businesses get to grips with this new process, it is anticipated </w:t>
      </w:r>
      <w:r w:rsidR="00445F5C" w:rsidRPr="003F2B4F">
        <w:rPr>
          <w:rFonts w:ascii="Calibri" w:hAnsi="Calibri"/>
          <w:sz w:val="24"/>
          <w:szCs w:val="24"/>
        </w:rPr>
        <w:t xml:space="preserve">that these will come through at some point in the future. </w:t>
      </w:r>
      <w:r w:rsidR="00745178" w:rsidRPr="003F2B4F">
        <w:rPr>
          <w:rFonts w:ascii="Calibri" w:hAnsi="Calibri"/>
          <w:sz w:val="24"/>
          <w:szCs w:val="24"/>
        </w:rPr>
        <w:t xml:space="preserve"> </w:t>
      </w:r>
    </w:p>
    <w:p w:rsidR="003F2B4F" w:rsidRPr="00742A98" w:rsidRDefault="003F2B4F" w:rsidP="003F2B4F">
      <w:pPr>
        <w:spacing w:after="0" w:line="240" w:lineRule="auto"/>
        <w:jc w:val="both"/>
        <w:rPr>
          <w:rFonts w:ascii="Calibri" w:hAnsi="Calibri"/>
          <w:sz w:val="16"/>
          <w:szCs w:val="16"/>
        </w:rPr>
      </w:pPr>
    </w:p>
    <w:p w:rsidR="0035717A" w:rsidRPr="003F2B4F" w:rsidRDefault="002C3393" w:rsidP="003F2B4F">
      <w:pPr>
        <w:spacing w:after="0" w:line="240" w:lineRule="auto"/>
        <w:jc w:val="both"/>
        <w:rPr>
          <w:rFonts w:ascii="Calibri" w:hAnsi="Calibri"/>
          <w:sz w:val="24"/>
          <w:szCs w:val="24"/>
        </w:rPr>
      </w:pPr>
      <w:r w:rsidRPr="003F2B4F">
        <w:rPr>
          <w:rFonts w:ascii="Calibri" w:hAnsi="Calibri"/>
          <w:sz w:val="24"/>
          <w:szCs w:val="24"/>
        </w:rPr>
        <w:t xml:space="preserve">The Council currently has </w:t>
      </w:r>
      <w:r w:rsidR="008F02A6" w:rsidRPr="003F2B4F">
        <w:rPr>
          <w:rFonts w:ascii="Calibri" w:hAnsi="Calibri"/>
          <w:sz w:val="24"/>
          <w:szCs w:val="24"/>
        </w:rPr>
        <w:t>£</w:t>
      </w:r>
      <w:r w:rsidR="00445F5C" w:rsidRPr="003F2B4F">
        <w:rPr>
          <w:rFonts w:ascii="Calibri" w:hAnsi="Calibri"/>
          <w:sz w:val="24"/>
          <w:szCs w:val="24"/>
        </w:rPr>
        <w:t xml:space="preserve">7,128,981 </w:t>
      </w:r>
      <w:r w:rsidRPr="003F2B4F">
        <w:rPr>
          <w:rFonts w:ascii="Calibri" w:hAnsi="Calibri"/>
          <w:sz w:val="24"/>
          <w:szCs w:val="24"/>
        </w:rPr>
        <w:t>set aside</w:t>
      </w:r>
      <w:r w:rsidR="0035717A" w:rsidRPr="003F2B4F">
        <w:rPr>
          <w:rFonts w:ascii="Calibri" w:hAnsi="Calibri"/>
          <w:sz w:val="24"/>
          <w:szCs w:val="24"/>
        </w:rPr>
        <w:t xml:space="preserve"> as a provision</w:t>
      </w:r>
      <w:r w:rsidRPr="003F2B4F">
        <w:rPr>
          <w:rFonts w:ascii="Calibri" w:hAnsi="Calibri"/>
          <w:sz w:val="24"/>
          <w:szCs w:val="24"/>
        </w:rPr>
        <w:t xml:space="preserve"> in order to mitigate the impact of these appeals</w:t>
      </w:r>
      <w:r w:rsidR="00445F5C" w:rsidRPr="003F2B4F">
        <w:rPr>
          <w:rFonts w:ascii="Calibri" w:hAnsi="Calibri"/>
          <w:sz w:val="24"/>
          <w:szCs w:val="24"/>
        </w:rPr>
        <w:t>, both against the 2010 list and the 2017 list</w:t>
      </w:r>
      <w:r w:rsidRPr="003F2B4F">
        <w:rPr>
          <w:rFonts w:ascii="Calibri" w:hAnsi="Calibri"/>
          <w:sz w:val="24"/>
          <w:szCs w:val="24"/>
        </w:rPr>
        <w:t xml:space="preserve">. </w:t>
      </w:r>
      <w:r w:rsidR="00AA086E" w:rsidRPr="003F2B4F">
        <w:rPr>
          <w:rFonts w:ascii="Calibri" w:hAnsi="Calibri"/>
          <w:sz w:val="24"/>
          <w:szCs w:val="24"/>
        </w:rPr>
        <w:t>The level of this provision has been calculated using</w:t>
      </w:r>
      <w:r w:rsidR="00445F5C" w:rsidRPr="003F2B4F">
        <w:rPr>
          <w:rFonts w:ascii="Calibri" w:hAnsi="Calibri"/>
          <w:sz w:val="24"/>
          <w:szCs w:val="24"/>
        </w:rPr>
        <w:t xml:space="preserve"> assistance from</w:t>
      </w:r>
      <w:r w:rsidR="00AA086E" w:rsidRPr="003F2B4F">
        <w:rPr>
          <w:rFonts w:ascii="Calibri" w:hAnsi="Calibri"/>
          <w:sz w:val="24"/>
          <w:szCs w:val="24"/>
        </w:rPr>
        <w:t xml:space="preserve"> independent external advice from Analyse Local. </w:t>
      </w:r>
      <w:r w:rsidRPr="003F2B4F">
        <w:rPr>
          <w:rFonts w:ascii="Calibri" w:hAnsi="Calibri"/>
          <w:sz w:val="24"/>
          <w:szCs w:val="24"/>
        </w:rPr>
        <w:t xml:space="preserve">Should </w:t>
      </w:r>
      <w:r w:rsidR="0035717A" w:rsidRPr="003F2B4F">
        <w:rPr>
          <w:rFonts w:ascii="Calibri" w:hAnsi="Calibri"/>
          <w:sz w:val="24"/>
          <w:szCs w:val="24"/>
        </w:rPr>
        <w:t xml:space="preserve">any of </w:t>
      </w:r>
      <w:r w:rsidRPr="003F2B4F">
        <w:rPr>
          <w:rFonts w:ascii="Calibri" w:hAnsi="Calibri"/>
          <w:sz w:val="24"/>
          <w:szCs w:val="24"/>
        </w:rPr>
        <w:t>the appeal</w:t>
      </w:r>
      <w:r w:rsidR="0035717A" w:rsidRPr="003F2B4F">
        <w:rPr>
          <w:rFonts w:ascii="Calibri" w:hAnsi="Calibri"/>
          <w:sz w:val="24"/>
          <w:szCs w:val="24"/>
        </w:rPr>
        <w:t>s</w:t>
      </w:r>
      <w:r w:rsidRPr="003F2B4F">
        <w:rPr>
          <w:rFonts w:ascii="Calibri" w:hAnsi="Calibri"/>
          <w:sz w:val="24"/>
          <w:szCs w:val="24"/>
        </w:rPr>
        <w:t xml:space="preserve"> not crystallise, </w:t>
      </w:r>
      <w:r w:rsidR="0035717A" w:rsidRPr="003F2B4F">
        <w:rPr>
          <w:rFonts w:ascii="Calibri" w:hAnsi="Calibri"/>
          <w:sz w:val="24"/>
          <w:szCs w:val="24"/>
        </w:rPr>
        <w:t>parts of this can be released back into the collection fund to be distributed back to the Council and its preceptors.</w:t>
      </w:r>
    </w:p>
    <w:p w:rsidR="003F2B4F" w:rsidRDefault="003F2B4F" w:rsidP="003F2B4F">
      <w:pPr>
        <w:spacing w:after="0" w:line="240" w:lineRule="auto"/>
        <w:jc w:val="both"/>
        <w:rPr>
          <w:rFonts w:ascii="Calibri" w:hAnsi="Calibri"/>
          <w:sz w:val="24"/>
          <w:szCs w:val="24"/>
        </w:rPr>
      </w:pPr>
    </w:p>
    <w:p w:rsidR="006B0144" w:rsidRDefault="009E76C3" w:rsidP="003F2B4F">
      <w:pPr>
        <w:spacing w:after="0" w:line="240" w:lineRule="auto"/>
        <w:jc w:val="both"/>
        <w:rPr>
          <w:rFonts w:ascii="Calibri" w:hAnsi="Calibri"/>
          <w:sz w:val="24"/>
          <w:szCs w:val="24"/>
        </w:rPr>
      </w:pPr>
      <w:r w:rsidRPr="003F2B4F">
        <w:rPr>
          <w:rFonts w:ascii="Calibri" w:hAnsi="Calibri"/>
          <w:sz w:val="24"/>
          <w:szCs w:val="24"/>
        </w:rPr>
        <w:lastRenderedPageBreak/>
        <w:t>A consultation paper around retained Business Rates was issued during December 2019 in order to seek views on the reform of the Business Rates retention system. This consultation sought views regarding the proposed changes to the system post 2019/20. The current indications are that a full baseline reset will occur on 1</w:t>
      </w:r>
      <w:r w:rsidRPr="003F2B4F">
        <w:rPr>
          <w:rFonts w:ascii="Calibri" w:hAnsi="Calibri"/>
          <w:sz w:val="24"/>
          <w:szCs w:val="24"/>
          <w:vertAlign w:val="superscript"/>
        </w:rPr>
        <w:t>t</w:t>
      </w:r>
      <w:r w:rsidRPr="003F2B4F">
        <w:rPr>
          <w:rFonts w:ascii="Calibri" w:hAnsi="Calibri"/>
          <w:sz w:val="24"/>
          <w:szCs w:val="24"/>
        </w:rPr>
        <w:t xml:space="preserve"> April 2020 which will reset the amount of funding authorities will receive from the business rates system. This is expected to be cash neutral </w:t>
      </w:r>
      <w:r w:rsidR="00694609" w:rsidRPr="003F2B4F">
        <w:rPr>
          <w:rFonts w:ascii="Calibri" w:hAnsi="Calibri"/>
          <w:sz w:val="24"/>
          <w:szCs w:val="24"/>
        </w:rPr>
        <w:t>nationally;</w:t>
      </w:r>
      <w:r w:rsidRPr="003F2B4F">
        <w:rPr>
          <w:rFonts w:ascii="Calibri" w:hAnsi="Calibri"/>
          <w:sz w:val="24"/>
          <w:szCs w:val="24"/>
        </w:rPr>
        <w:t xml:space="preserve"> hence authorities that have enjoyed growth within the current system </w:t>
      </w:r>
      <w:r w:rsidR="006B0144" w:rsidRPr="003F2B4F">
        <w:rPr>
          <w:rFonts w:ascii="Calibri" w:hAnsi="Calibri"/>
          <w:sz w:val="24"/>
          <w:szCs w:val="24"/>
        </w:rPr>
        <w:t xml:space="preserve">potentially could lose this growth in order to be </w:t>
      </w:r>
      <w:proofErr w:type="spellStart"/>
      <w:r w:rsidR="006B0144" w:rsidRPr="003F2B4F">
        <w:rPr>
          <w:rFonts w:ascii="Calibri" w:hAnsi="Calibri"/>
          <w:sz w:val="24"/>
          <w:szCs w:val="24"/>
        </w:rPr>
        <w:t>passported</w:t>
      </w:r>
      <w:proofErr w:type="spellEnd"/>
      <w:r w:rsidR="006B0144" w:rsidRPr="003F2B4F">
        <w:rPr>
          <w:rFonts w:ascii="Calibri" w:hAnsi="Calibri"/>
          <w:sz w:val="24"/>
          <w:szCs w:val="24"/>
        </w:rPr>
        <w:t xml:space="preserve"> to those authorities with greater need for resourcing.</w:t>
      </w:r>
    </w:p>
    <w:p w:rsidR="003F2B4F" w:rsidRPr="003F2B4F" w:rsidRDefault="003F2B4F" w:rsidP="003F2B4F">
      <w:pPr>
        <w:spacing w:after="0" w:line="240" w:lineRule="auto"/>
        <w:jc w:val="both"/>
        <w:rPr>
          <w:rFonts w:ascii="Calibri" w:hAnsi="Calibri"/>
          <w:sz w:val="24"/>
          <w:szCs w:val="24"/>
        </w:rPr>
      </w:pPr>
    </w:p>
    <w:p w:rsidR="00F84771" w:rsidRPr="003F2B4F" w:rsidRDefault="006B0144" w:rsidP="003F2B4F">
      <w:pPr>
        <w:spacing w:after="0" w:line="240" w:lineRule="auto"/>
        <w:jc w:val="both"/>
        <w:rPr>
          <w:rFonts w:ascii="Calibri" w:hAnsi="Calibri"/>
          <w:sz w:val="24"/>
          <w:szCs w:val="24"/>
        </w:rPr>
      </w:pPr>
      <w:r w:rsidRPr="003F2B4F">
        <w:rPr>
          <w:rFonts w:ascii="Calibri" w:hAnsi="Calibri"/>
          <w:sz w:val="24"/>
          <w:szCs w:val="24"/>
        </w:rPr>
        <w:t>These assumptions have been modelled into the current figures provided within this MTFP but are subject to high volatility as Ministers continue to make decisions around funding. The outcome of funding is likely to be a combination of the Comprehensive Spending Review (due in 2019), the implications of the Fair Funding Review and Business Rates reform. Ministers will need to ensure that the financial viability of authorities or classes of authority is managed alongside ensure the change is manageable and that they are able to achieve parliamentary approval.</w:t>
      </w:r>
      <w:r w:rsidR="009E76C3" w:rsidRPr="003F2B4F">
        <w:rPr>
          <w:rFonts w:ascii="Calibri" w:hAnsi="Calibri"/>
          <w:sz w:val="24"/>
          <w:szCs w:val="24"/>
        </w:rPr>
        <w:t xml:space="preserve"> </w:t>
      </w:r>
    </w:p>
    <w:p w:rsidR="003F2B4F" w:rsidRDefault="003F2B4F" w:rsidP="003F2B4F">
      <w:pPr>
        <w:spacing w:after="0" w:line="240" w:lineRule="auto"/>
        <w:ind w:hanging="567"/>
        <w:jc w:val="both"/>
        <w:rPr>
          <w:rFonts w:ascii="Calibri" w:hAnsi="Calibri"/>
          <w:b/>
          <w:sz w:val="24"/>
          <w:szCs w:val="24"/>
        </w:rPr>
      </w:pPr>
    </w:p>
    <w:p w:rsidR="00820AD0" w:rsidRPr="003F2B4F" w:rsidRDefault="0078035F" w:rsidP="003F2B4F">
      <w:pPr>
        <w:spacing w:after="0" w:line="240" w:lineRule="auto"/>
        <w:jc w:val="both"/>
        <w:rPr>
          <w:rFonts w:ascii="Calibri" w:hAnsi="Calibri"/>
          <w:sz w:val="24"/>
          <w:szCs w:val="24"/>
        </w:rPr>
      </w:pPr>
      <w:r w:rsidRPr="003F2B4F">
        <w:rPr>
          <w:rFonts w:ascii="Calibri" w:hAnsi="Calibri"/>
          <w:b/>
          <w:sz w:val="24"/>
          <w:szCs w:val="24"/>
        </w:rPr>
        <w:t>1.5</w:t>
      </w:r>
      <w:r w:rsidRPr="003F2B4F">
        <w:rPr>
          <w:rFonts w:ascii="Calibri" w:hAnsi="Calibri"/>
          <w:b/>
          <w:sz w:val="24"/>
          <w:szCs w:val="24"/>
        </w:rPr>
        <w:tab/>
      </w:r>
      <w:r w:rsidR="00820AD0" w:rsidRPr="003F2B4F">
        <w:rPr>
          <w:rFonts w:ascii="Calibri" w:hAnsi="Calibri"/>
          <w:b/>
          <w:sz w:val="24"/>
          <w:szCs w:val="24"/>
          <w:u w:val="single"/>
        </w:rPr>
        <w:t>Council Tax</w:t>
      </w:r>
    </w:p>
    <w:p w:rsidR="003F2B4F" w:rsidRDefault="003F2B4F" w:rsidP="003F2B4F">
      <w:pPr>
        <w:spacing w:after="0" w:line="240" w:lineRule="auto"/>
        <w:jc w:val="both"/>
        <w:rPr>
          <w:rFonts w:ascii="Calibri" w:hAnsi="Calibri"/>
          <w:sz w:val="24"/>
          <w:szCs w:val="24"/>
        </w:rPr>
      </w:pPr>
    </w:p>
    <w:p w:rsidR="003F5E1E" w:rsidRDefault="002A76F8" w:rsidP="003F2B4F">
      <w:pPr>
        <w:spacing w:after="0" w:line="240" w:lineRule="auto"/>
        <w:jc w:val="both"/>
        <w:rPr>
          <w:rFonts w:ascii="Calibri" w:hAnsi="Calibri"/>
          <w:sz w:val="24"/>
          <w:szCs w:val="24"/>
        </w:rPr>
      </w:pPr>
      <w:r w:rsidRPr="003F2B4F">
        <w:rPr>
          <w:rFonts w:ascii="Calibri" w:hAnsi="Calibri"/>
          <w:sz w:val="24"/>
          <w:szCs w:val="24"/>
        </w:rPr>
        <w:t>The Local Government Finance Settlement amended the principles before which a referendum would be called for the 2018/19 financial year. A Shire District may levy a 2.99%</w:t>
      </w:r>
      <w:r w:rsidR="00C80158" w:rsidRPr="003F2B4F">
        <w:rPr>
          <w:rFonts w:ascii="Calibri" w:hAnsi="Calibri"/>
          <w:sz w:val="24"/>
          <w:szCs w:val="24"/>
        </w:rPr>
        <w:t xml:space="preserve"> or £5 (whichever is higher),</w:t>
      </w:r>
      <w:r w:rsidRPr="003F2B4F">
        <w:rPr>
          <w:rFonts w:ascii="Calibri" w:hAnsi="Calibri"/>
          <w:sz w:val="24"/>
          <w:szCs w:val="24"/>
        </w:rPr>
        <w:t xml:space="preserve"> increase on the prior </w:t>
      </w:r>
      <w:r w:rsidR="00CC1D5F" w:rsidRPr="003F2B4F">
        <w:rPr>
          <w:rFonts w:ascii="Calibri" w:hAnsi="Calibri"/>
          <w:sz w:val="24"/>
          <w:szCs w:val="24"/>
        </w:rPr>
        <w:t>year’s</w:t>
      </w:r>
      <w:r w:rsidRPr="003F2B4F">
        <w:rPr>
          <w:rFonts w:ascii="Calibri" w:hAnsi="Calibri"/>
          <w:sz w:val="24"/>
          <w:szCs w:val="24"/>
        </w:rPr>
        <w:t xml:space="preserve"> Council Tax precept prior to a referendum being called. </w:t>
      </w:r>
      <w:r w:rsidR="00EF3EFF" w:rsidRPr="003F2B4F">
        <w:rPr>
          <w:rFonts w:ascii="Calibri" w:hAnsi="Calibri"/>
          <w:sz w:val="24"/>
          <w:szCs w:val="24"/>
        </w:rPr>
        <w:t>This principle stays the same for the 2019/20 financial year.</w:t>
      </w:r>
    </w:p>
    <w:p w:rsidR="003F2B4F" w:rsidRPr="003F2B4F" w:rsidRDefault="003F2B4F" w:rsidP="003F2B4F">
      <w:pPr>
        <w:spacing w:after="0" w:line="240" w:lineRule="auto"/>
        <w:jc w:val="both"/>
        <w:rPr>
          <w:rFonts w:ascii="Calibri" w:hAnsi="Calibri"/>
          <w:sz w:val="24"/>
          <w:szCs w:val="24"/>
        </w:rPr>
      </w:pPr>
    </w:p>
    <w:p w:rsidR="002C3393" w:rsidRDefault="00AA086E" w:rsidP="003F2B4F">
      <w:pPr>
        <w:spacing w:after="0" w:line="240" w:lineRule="auto"/>
        <w:jc w:val="both"/>
        <w:rPr>
          <w:rFonts w:ascii="Calibri" w:hAnsi="Calibri"/>
          <w:sz w:val="24"/>
          <w:szCs w:val="24"/>
        </w:rPr>
      </w:pPr>
      <w:r w:rsidRPr="003F2B4F">
        <w:rPr>
          <w:rFonts w:ascii="Calibri" w:hAnsi="Calibri"/>
          <w:sz w:val="24"/>
          <w:szCs w:val="24"/>
        </w:rPr>
        <w:t>Members agreed to an increase in average Band D Council Tax of 1.94% through 2016/17, 2017/18 and also</w:t>
      </w:r>
      <w:r w:rsidR="00244FE2" w:rsidRPr="003F2B4F">
        <w:rPr>
          <w:rFonts w:ascii="Calibri" w:hAnsi="Calibri"/>
          <w:sz w:val="24"/>
          <w:szCs w:val="24"/>
        </w:rPr>
        <w:t xml:space="preserve"> 2018/19</w:t>
      </w:r>
      <w:r w:rsidRPr="003F2B4F">
        <w:rPr>
          <w:rFonts w:ascii="Calibri" w:hAnsi="Calibri"/>
          <w:sz w:val="24"/>
          <w:szCs w:val="24"/>
        </w:rPr>
        <w:t xml:space="preserve">. </w:t>
      </w:r>
      <w:r w:rsidR="00694609" w:rsidRPr="003F2B4F">
        <w:rPr>
          <w:rFonts w:ascii="Calibri" w:hAnsi="Calibri"/>
          <w:sz w:val="24"/>
          <w:szCs w:val="24"/>
        </w:rPr>
        <w:t xml:space="preserve">For the purposes of the MTFP, it has been assumed that Council will continue to increase average Band D council tax by 1.94% and </w:t>
      </w:r>
      <w:r w:rsidRPr="003F2B4F">
        <w:rPr>
          <w:rFonts w:ascii="Calibri" w:hAnsi="Calibri"/>
          <w:sz w:val="24"/>
          <w:szCs w:val="24"/>
        </w:rPr>
        <w:t xml:space="preserve">therefore </w:t>
      </w:r>
      <w:r w:rsidR="00694609" w:rsidRPr="003F2B4F">
        <w:rPr>
          <w:rFonts w:ascii="Calibri" w:hAnsi="Calibri"/>
          <w:sz w:val="24"/>
          <w:szCs w:val="24"/>
        </w:rPr>
        <w:t xml:space="preserve">this rate of increase has been </w:t>
      </w:r>
      <w:r w:rsidR="00A42075" w:rsidRPr="003F2B4F">
        <w:rPr>
          <w:rFonts w:ascii="Calibri" w:hAnsi="Calibri"/>
          <w:sz w:val="24"/>
          <w:szCs w:val="24"/>
        </w:rPr>
        <w:t>modelled throughout the duration of this MTFP.</w:t>
      </w:r>
      <w:r w:rsidR="002A76F8" w:rsidRPr="003F2B4F">
        <w:rPr>
          <w:rFonts w:ascii="Calibri" w:hAnsi="Calibri"/>
          <w:sz w:val="24"/>
          <w:szCs w:val="24"/>
        </w:rPr>
        <w:t xml:space="preserve"> </w:t>
      </w:r>
    </w:p>
    <w:p w:rsidR="003F2B4F" w:rsidRPr="003F2B4F" w:rsidRDefault="003F2B4F" w:rsidP="003F2B4F">
      <w:pPr>
        <w:spacing w:after="0" w:line="240" w:lineRule="auto"/>
        <w:jc w:val="both"/>
        <w:rPr>
          <w:rFonts w:ascii="Calibri" w:hAnsi="Calibri"/>
          <w:sz w:val="24"/>
          <w:szCs w:val="24"/>
        </w:rPr>
      </w:pPr>
    </w:p>
    <w:p w:rsidR="002306F6" w:rsidRDefault="002306F6" w:rsidP="003F2B4F">
      <w:pPr>
        <w:spacing w:after="0" w:line="240" w:lineRule="auto"/>
        <w:jc w:val="both"/>
        <w:rPr>
          <w:rFonts w:ascii="Calibri" w:hAnsi="Calibri"/>
          <w:sz w:val="24"/>
          <w:szCs w:val="24"/>
        </w:rPr>
      </w:pPr>
      <w:r w:rsidRPr="003F2B4F">
        <w:rPr>
          <w:rFonts w:ascii="Calibri" w:hAnsi="Calibri"/>
          <w:sz w:val="24"/>
          <w:szCs w:val="24"/>
        </w:rPr>
        <w:t xml:space="preserve">The Council’s tax base is the number of properties at the average Band D equivalent level within the district. This is the measure that the Council uses to calculate the amount of Council Tax that the </w:t>
      </w:r>
      <w:r w:rsidR="00A70807" w:rsidRPr="003F2B4F">
        <w:rPr>
          <w:rFonts w:ascii="Calibri" w:hAnsi="Calibri"/>
          <w:sz w:val="24"/>
          <w:szCs w:val="24"/>
        </w:rPr>
        <w:t>Council can receive (multiplied by the Band D rate). The more properties that are built within the district increases the amount of Council Tax revenue that the Council even if a Council Tax freeze was announced. The increase in tax</w:t>
      </w:r>
      <w:r w:rsidR="00280527" w:rsidRPr="003F2B4F">
        <w:rPr>
          <w:rFonts w:ascii="Calibri" w:hAnsi="Calibri"/>
          <w:sz w:val="24"/>
          <w:szCs w:val="24"/>
        </w:rPr>
        <w:t xml:space="preserve"> base used to calculate the 2019</w:t>
      </w:r>
      <w:r w:rsidR="00A70807" w:rsidRPr="003F2B4F">
        <w:rPr>
          <w:rFonts w:ascii="Calibri" w:hAnsi="Calibri"/>
          <w:sz w:val="24"/>
          <w:szCs w:val="24"/>
        </w:rPr>
        <w:t>/</w:t>
      </w:r>
      <w:r w:rsidR="00280527" w:rsidRPr="003F2B4F">
        <w:rPr>
          <w:rFonts w:ascii="Calibri" w:hAnsi="Calibri"/>
          <w:sz w:val="24"/>
          <w:szCs w:val="24"/>
        </w:rPr>
        <w:t>20</w:t>
      </w:r>
      <w:r w:rsidR="00A70807" w:rsidRPr="003F2B4F">
        <w:rPr>
          <w:rFonts w:ascii="Calibri" w:hAnsi="Calibri"/>
          <w:sz w:val="24"/>
          <w:szCs w:val="24"/>
        </w:rPr>
        <w:t xml:space="preserve"> C</w:t>
      </w:r>
      <w:r w:rsidR="00280527" w:rsidRPr="003F2B4F">
        <w:rPr>
          <w:rFonts w:ascii="Calibri" w:hAnsi="Calibri"/>
          <w:sz w:val="24"/>
          <w:szCs w:val="24"/>
        </w:rPr>
        <w:t>ouncil Tax requirement was 1.18</w:t>
      </w:r>
      <w:r w:rsidR="00A70807" w:rsidRPr="003F2B4F">
        <w:rPr>
          <w:rFonts w:ascii="Calibri" w:hAnsi="Calibri"/>
          <w:sz w:val="24"/>
          <w:szCs w:val="24"/>
        </w:rPr>
        <w:t>%</w:t>
      </w:r>
      <w:r w:rsidR="00280527" w:rsidRPr="003F2B4F">
        <w:rPr>
          <w:rFonts w:ascii="Calibri" w:hAnsi="Calibri"/>
          <w:sz w:val="24"/>
          <w:szCs w:val="24"/>
        </w:rPr>
        <w:t xml:space="preserve"> which was the actual tax base calculated in December 2018</w:t>
      </w:r>
      <w:r w:rsidR="00A70807" w:rsidRPr="003F2B4F">
        <w:rPr>
          <w:rFonts w:ascii="Calibri" w:hAnsi="Calibri"/>
          <w:sz w:val="24"/>
          <w:szCs w:val="24"/>
        </w:rPr>
        <w:t>.</w:t>
      </w:r>
      <w:r w:rsidR="00280527" w:rsidRPr="003F2B4F">
        <w:rPr>
          <w:rFonts w:ascii="Calibri" w:hAnsi="Calibri"/>
          <w:sz w:val="24"/>
          <w:szCs w:val="24"/>
        </w:rPr>
        <w:t xml:space="preserve"> The average over the previous two year period has been used to forecast growth in the tax base each year after that.</w:t>
      </w:r>
    </w:p>
    <w:p w:rsidR="003F2B4F" w:rsidRPr="003F2B4F" w:rsidRDefault="003F2B4F" w:rsidP="003F2B4F">
      <w:pPr>
        <w:spacing w:after="0" w:line="240" w:lineRule="auto"/>
        <w:jc w:val="both"/>
        <w:rPr>
          <w:rFonts w:ascii="Calibri" w:hAnsi="Calibri"/>
          <w:sz w:val="24"/>
          <w:szCs w:val="24"/>
        </w:rPr>
      </w:pPr>
    </w:p>
    <w:p w:rsidR="00911564" w:rsidRDefault="009A1833" w:rsidP="003F2B4F">
      <w:pPr>
        <w:spacing w:after="0" w:line="240" w:lineRule="auto"/>
        <w:jc w:val="both"/>
        <w:rPr>
          <w:rFonts w:ascii="Calibri" w:hAnsi="Calibri"/>
          <w:sz w:val="24"/>
          <w:szCs w:val="24"/>
        </w:rPr>
      </w:pPr>
      <w:r w:rsidRPr="003F2B4F">
        <w:rPr>
          <w:rFonts w:ascii="Calibri" w:hAnsi="Calibri"/>
          <w:sz w:val="24"/>
          <w:szCs w:val="24"/>
        </w:rPr>
        <w:t xml:space="preserve">Localised Council Tax Support replaced Council Tax Benefit </w:t>
      </w:r>
      <w:r w:rsidR="00831A30" w:rsidRPr="003F2B4F">
        <w:rPr>
          <w:rFonts w:ascii="Calibri" w:hAnsi="Calibri"/>
          <w:sz w:val="24"/>
          <w:szCs w:val="24"/>
        </w:rPr>
        <w:t xml:space="preserve">which was abolished by the </w:t>
      </w:r>
      <w:r w:rsidR="008A2766" w:rsidRPr="003F2B4F">
        <w:rPr>
          <w:rFonts w:ascii="Calibri" w:hAnsi="Calibri"/>
          <w:sz w:val="24"/>
          <w:szCs w:val="24"/>
        </w:rPr>
        <w:t>G</w:t>
      </w:r>
      <w:r w:rsidR="00831A30" w:rsidRPr="003F2B4F">
        <w:rPr>
          <w:rFonts w:ascii="Calibri" w:hAnsi="Calibri"/>
          <w:sz w:val="24"/>
          <w:szCs w:val="24"/>
        </w:rPr>
        <w:t xml:space="preserve">overnment </w:t>
      </w:r>
      <w:r w:rsidRPr="003F2B4F">
        <w:rPr>
          <w:rFonts w:ascii="Calibri" w:hAnsi="Calibri"/>
          <w:sz w:val="24"/>
          <w:szCs w:val="24"/>
        </w:rPr>
        <w:t xml:space="preserve">with effect from 1 April 2013. </w:t>
      </w:r>
      <w:r w:rsidR="00911564" w:rsidRPr="003F2B4F">
        <w:rPr>
          <w:rFonts w:ascii="Calibri" w:hAnsi="Calibri"/>
          <w:sz w:val="24"/>
          <w:szCs w:val="24"/>
        </w:rPr>
        <w:t xml:space="preserve">Local Authorities were required to design local schemes which offered discounts to the council tax bill – any discount awarded is now incorporated within the Council’s </w:t>
      </w:r>
      <w:proofErr w:type="spellStart"/>
      <w:r w:rsidR="00911564" w:rsidRPr="003F2B4F">
        <w:rPr>
          <w:rFonts w:ascii="Calibri" w:hAnsi="Calibri"/>
          <w:sz w:val="24"/>
          <w:szCs w:val="24"/>
        </w:rPr>
        <w:t>taxbase</w:t>
      </w:r>
      <w:proofErr w:type="spellEnd"/>
      <w:r w:rsidR="00911564" w:rsidRPr="003F2B4F">
        <w:rPr>
          <w:rFonts w:ascii="Calibri" w:hAnsi="Calibri"/>
          <w:sz w:val="24"/>
          <w:szCs w:val="24"/>
        </w:rPr>
        <w:t>.</w:t>
      </w:r>
    </w:p>
    <w:p w:rsidR="003F2B4F" w:rsidRPr="003F2B4F" w:rsidRDefault="003F2B4F" w:rsidP="003F2B4F">
      <w:pPr>
        <w:spacing w:after="0" w:line="240" w:lineRule="auto"/>
        <w:jc w:val="both"/>
        <w:rPr>
          <w:rFonts w:ascii="Calibri" w:hAnsi="Calibri"/>
          <w:sz w:val="24"/>
          <w:szCs w:val="24"/>
        </w:rPr>
      </w:pPr>
    </w:p>
    <w:p w:rsidR="008A2766" w:rsidRDefault="00831A30" w:rsidP="003F2B4F">
      <w:pPr>
        <w:spacing w:after="0" w:line="240" w:lineRule="auto"/>
        <w:jc w:val="both"/>
        <w:rPr>
          <w:rFonts w:ascii="Calibri" w:hAnsi="Calibri"/>
          <w:sz w:val="24"/>
          <w:szCs w:val="24"/>
        </w:rPr>
      </w:pPr>
      <w:r w:rsidRPr="003F2B4F">
        <w:rPr>
          <w:rFonts w:ascii="Calibri" w:hAnsi="Calibri"/>
          <w:sz w:val="24"/>
          <w:szCs w:val="24"/>
        </w:rPr>
        <w:t xml:space="preserve">Initially the </w:t>
      </w:r>
      <w:r w:rsidR="008A2766" w:rsidRPr="003F2B4F">
        <w:rPr>
          <w:rFonts w:ascii="Calibri" w:hAnsi="Calibri"/>
          <w:sz w:val="24"/>
          <w:szCs w:val="24"/>
        </w:rPr>
        <w:t>G</w:t>
      </w:r>
      <w:r w:rsidRPr="003F2B4F">
        <w:rPr>
          <w:rFonts w:ascii="Calibri" w:hAnsi="Calibri"/>
          <w:sz w:val="24"/>
          <w:szCs w:val="24"/>
        </w:rPr>
        <w:t>overnment awarded a grant to local authorities to support local schemes however this was only separately identified for the 2013 financial year.</w:t>
      </w:r>
      <w:r w:rsidR="008A2766" w:rsidRPr="003F2B4F">
        <w:rPr>
          <w:rFonts w:ascii="Calibri" w:hAnsi="Calibri"/>
          <w:sz w:val="24"/>
          <w:szCs w:val="24"/>
        </w:rPr>
        <w:t xml:space="preserve"> The grant was set at a level that was a reduction of 10% on the forecast cost of Council Tax benefit for 2013/14. As this was only identifiable separately for the 2013/14 financial year, this funding was assumed to be incorporated within Revenue Support Grant from the 2014/15 financial year. Full Council must approve, each year, prior to 31 January, the Local Council Tax Support scheme.</w:t>
      </w:r>
    </w:p>
    <w:p w:rsidR="003F2B4F" w:rsidRPr="003F2B4F" w:rsidRDefault="003F2B4F" w:rsidP="003F2B4F">
      <w:pPr>
        <w:spacing w:after="0" w:line="240" w:lineRule="auto"/>
        <w:jc w:val="both"/>
        <w:rPr>
          <w:rFonts w:ascii="Calibri" w:hAnsi="Calibri"/>
          <w:sz w:val="24"/>
          <w:szCs w:val="24"/>
        </w:rPr>
      </w:pPr>
    </w:p>
    <w:p w:rsidR="00A50396" w:rsidRDefault="009A1833" w:rsidP="003F2B4F">
      <w:pPr>
        <w:spacing w:after="0" w:line="240" w:lineRule="auto"/>
        <w:jc w:val="both"/>
        <w:rPr>
          <w:rFonts w:ascii="Calibri" w:hAnsi="Calibri"/>
          <w:sz w:val="24"/>
          <w:szCs w:val="24"/>
        </w:rPr>
      </w:pPr>
      <w:r w:rsidRPr="003F2B4F">
        <w:rPr>
          <w:rFonts w:ascii="Calibri" w:hAnsi="Calibri"/>
          <w:sz w:val="24"/>
          <w:szCs w:val="24"/>
        </w:rPr>
        <w:lastRenderedPageBreak/>
        <w:t xml:space="preserve">Our </w:t>
      </w:r>
      <w:r w:rsidR="00831A30" w:rsidRPr="003F2B4F">
        <w:rPr>
          <w:rFonts w:ascii="Calibri" w:hAnsi="Calibri"/>
          <w:sz w:val="24"/>
          <w:szCs w:val="24"/>
        </w:rPr>
        <w:t xml:space="preserve">local </w:t>
      </w:r>
      <w:r w:rsidRPr="003F2B4F">
        <w:rPr>
          <w:rFonts w:ascii="Calibri" w:hAnsi="Calibri"/>
          <w:sz w:val="24"/>
          <w:szCs w:val="24"/>
        </w:rPr>
        <w:t>scheme requires working age</w:t>
      </w:r>
      <w:r w:rsidR="00831A30" w:rsidRPr="003F2B4F">
        <w:rPr>
          <w:rFonts w:ascii="Calibri" w:hAnsi="Calibri"/>
          <w:sz w:val="24"/>
          <w:szCs w:val="24"/>
        </w:rPr>
        <w:t xml:space="preserve"> council tax payers to contribute at least 20% towards their council tax bill.  Pension age council taxpayers can continue to receive up to a 100% discount to their council tax bill</w:t>
      </w:r>
      <w:r w:rsidR="00911564" w:rsidRPr="003F2B4F">
        <w:rPr>
          <w:rFonts w:ascii="Calibri" w:hAnsi="Calibri"/>
          <w:sz w:val="24"/>
          <w:szCs w:val="24"/>
        </w:rPr>
        <w:t xml:space="preserve"> dependent upon their financial circumstances</w:t>
      </w:r>
      <w:r w:rsidR="00831A30" w:rsidRPr="003F2B4F">
        <w:rPr>
          <w:rFonts w:ascii="Calibri" w:hAnsi="Calibri"/>
          <w:sz w:val="24"/>
          <w:szCs w:val="24"/>
        </w:rPr>
        <w:t>.</w:t>
      </w:r>
    </w:p>
    <w:p w:rsidR="003F2B4F" w:rsidRPr="003F2B4F" w:rsidRDefault="003F2B4F" w:rsidP="003F2B4F">
      <w:pPr>
        <w:spacing w:after="0" w:line="240" w:lineRule="auto"/>
        <w:jc w:val="both"/>
        <w:rPr>
          <w:rFonts w:ascii="Calibri" w:hAnsi="Calibri"/>
          <w:sz w:val="24"/>
          <w:szCs w:val="24"/>
        </w:rPr>
      </w:pPr>
    </w:p>
    <w:p w:rsidR="006E6311" w:rsidRDefault="00831A30" w:rsidP="003F2B4F">
      <w:pPr>
        <w:spacing w:after="0" w:line="240" w:lineRule="auto"/>
        <w:jc w:val="both"/>
        <w:rPr>
          <w:rFonts w:ascii="Calibri" w:hAnsi="Calibri"/>
          <w:sz w:val="24"/>
          <w:szCs w:val="24"/>
        </w:rPr>
      </w:pPr>
      <w:r w:rsidRPr="003F2B4F">
        <w:rPr>
          <w:rFonts w:ascii="Calibri" w:hAnsi="Calibri"/>
          <w:sz w:val="24"/>
          <w:szCs w:val="24"/>
        </w:rPr>
        <w:t>Since 2013 the scheme has</w:t>
      </w:r>
      <w:r w:rsidR="00D0162D" w:rsidRPr="003F2B4F">
        <w:rPr>
          <w:rFonts w:ascii="Calibri" w:hAnsi="Calibri"/>
          <w:sz w:val="24"/>
          <w:szCs w:val="24"/>
        </w:rPr>
        <w:t xml:space="preserve"> annually</w:t>
      </w:r>
      <w:r w:rsidRPr="003F2B4F">
        <w:rPr>
          <w:rFonts w:ascii="Calibri" w:hAnsi="Calibri"/>
          <w:sz w:val="24"/>
          <w:szCs w:val="24"/>
        </w:rPr>
        <w:t xml:space="preserve"> cost approximately £6.4m </w:t>
      </w:r>
      <w:r w:rsidR="00D0162D" w:rsidRPr="003F2B4F">
        <w:rPr>
          <w:rFonts w:ascii="Calibri" w:hAnsi="Calibri"/>
          <w:sz w:val="24"/>
          <w:szCs w:val="24"/>
        </w:rPr>
        <w:t>(of which 9.14%  relates to Newark and Sherwood District Council equivalent to approximately £585k per annum)</w:t>
      </w:r>
      <w:r w:rsidRPr="003F2B4F">
        <w:rPr>
          <w:rFonts w:ascii="Calibri" w:hAnsi="Calibri"/>
          <w:sz w:val="24"/>
          <w:szCs w:val="24"/>
        </w:rPr>
        <w:t xml:space="preserve"> however this could increase / decrease according to the current economic climate</w:t>
      </w:r>
      <w:r w:rsidR="00911564" w:rsidRPr="003F2B4F">
        <w:rPr>
          <w:rFonts w:ascii="Calibri" w:hAnsi="Calibri"/>
          <w:sz w:val="24"/>
          <w:szCs w:val="24"/>
        </w:rPr>
        <w:t xml:space="preserve"> and the impact this can have on household finances</w:t>
      </w:r>
      <w:r w:rsidRPr="003F2B4F">
        <w:rPr>
          <w:rFonts w:ascii="Calibri" w:hAnsi="Calibri"/>
          <w:sz w:val="24"/>
          <w:szCs w:val="24"/>
        </w:rPr>
        <w:t>.</w:t>
      </w:r>
    </w:p>
    <w:p w:rsidR="003F2B4F" w:rsidRPr="003F2B4F" w:rsidRDefault="003F2B4F" w:rsidP="003F2B4F">
      <w:pPr>
        <w:spacing w:after="0" w:line="240" w:lineRule="auto"/>
        <w:jc w:val="both"/>
        <w:rPr>
          <w:rFonts w:ascii="Calibri" w:hAnsi="Calibri"/>
          <w:sz w:val="24"/>
          <w:szCs w:val="24"/>
        </w:rPr>
      </w:pPr>
    </w:p>
    <w:p w:rsidR="00820AD0" w:rsidRPr="003F2B4F" w:rsidRDefault="0078035F" w:rsidP="003F2B4F">
      <w:pPr>
        <w:spacing w:after="0" w:line="240" w:lineRule="auto"/>
        <w:jc w:val="both"/>
        <w:rPr>
          <w:rFonts w:ascii="Calibri" w:hAnsi="Calibri"/>
          <w:b/>
          <w:sz w:val="24"/>
          <w:szCs w:val="24"/>
          <w:u w:val="single"/>
        </w:rPr>
      </w:pPr>
      <w:r w:rsidRPr="003F2B4F">
        <w:rPr>
          <w:rFonts w:ascii="Calibri" w:hAnsi="Calibri"/>
          <w:b/>
          <w:sz w:val="24"/>
          <w:szCs w:val="24"/>
        </w:rPr>
        <w:t>1.6</w:t>
      </w:r>
      <w:r w:rsidR="00820AD0" w:rsidRPr="003F2B4F">
        <w:rPr>
          <w:rFonts w:ascii="Calibri" w:hAnsi="Calibri"/>
          <w:b/>
          <w:sz w:val="24"/>
          <w:szCs w:val="24"/>
        </w:rPr>
        <w:tab/>
      </w:r>
      <w:r w:rsidR="00820AD0" w:rsidRPr="003F2B4F">
        <w:rPr>
          <w:rFonts w:ascii="Calibri" w:hAnsi="Calibri"/>
          <w:b/>
          <w:sz w:val="24"/>
          <w:szCs w:val="24"/>
          <w:u w:val="single"/>
        </w:rPr>
        <w:t>New Homes Bonus</w:t>
      </w:r>
    </w:p>
    <w:p w:rsidR="003F2B4F" w:rsidRDefault="003F2B4F" w:rsidP="003F2B4F">
      <w:pPr>
        <w:spacing w:after="0" w:line="240" w:lineRule="auto"/>
        <w:jc w:val="both"/>
        <w:rPr>
          <w:rFonts w:ascii="Calibri" w:hAnsi="Calibri"/>
          <w:sz w:val="24"/>
          <w:szCs w:val="24"/>
        </w:rPr>
      </w:pPr>
    </w:p>
    <w:p w:rsidR="003F5E1E" w:rsidRDefault="003F5E1E" w:rsidP="003F2B4F">
      <w:pPr>
        <w:spacing w:after="0" w:line="240" w:lineRule="auto"/>
        <w:jc w:val="both"/>
        <w:rPr>
          <w:rFonts w:ascii="Calibri" w:hAnsi="Calibri"/>
          <w:sz w:val="24"/>
          <w:szCs w:val="24"/>
        </w:rPr>
      </w:pPr>
      <w:r w:rsidRPr="003F2B4F">
        <w:rPr>
          <w:rFonts w:ascii="Calibri" w:hAnsi="Calibri"/>
          <w:sz w:val="24"/>
          <w:szCs w:val="24"/>
        </w:rPr>
        <w:t>New Homes Bonus was the subject of a consult</w:t>
      </w:r>
      <w:r w:rsidR="001B1D8F" w:rsidRPr="003F2B4F">
        <w:rPr>
          <w:rFonts w:ascii="Calibri" w:hAnsi="Calibri"/>
          <w:sz w:val="24"/>
          <w:szCs w:val="24"/>
        </w:rPr>
        <w:t>ation exercise during 2017, which sought to change the methodology of calculation in order to penalise Councils who had high levels of residential planning decisions overturned at appeal. The Government decided not to follow through on this consultation and the award basis is unchanged from 2017/18.</w:t>
      </w:r>
    </w:p>
    <w:p w:rsidR="003F2B4F" w:rsidRPr="003F2B4F" w:rsidRDefault="003F2B4F" w:rsidP="003F2B4F">
      <w:pPr>
        <w:spacing w:after="0" w:line="240" w:lineRule="auto"/>
        <w:jc w:val="both"/>
        <w:rPr>
          <w:rFonts w:ascii="Calibri" w:hAnsi="Calibri"/>
          <w:sz w:val="24"/>
          <w:szCs w:val="24"/>
        </w:rPr>
      </w:pPr>
    </w:p>
    <w:p w:rsidR="001B1D8F" w:rsidRDefault="001B1D8F" w:rsidP="003F2B4F">
      <w:pPr>
        <w:spacing w:after="0" w:line="240" w:lineRule="auto"/>
        <w:jc w:val="both"/>
        <w:rPr>
          <w:rFonts w:ascii="Calibri" w:hAnsi="Calibri"/>
          <w:sz w:val="24"/>
          <w:szCs w:val="24"/>
        </w:rPr>
      </w:pPr>
      <w:r w:rsidRPr="003F2B4F">
        <w:rPr>
          <w:rFonts w:ascii="Calibri" w:hAnsi="Calibri"/>
          <w:sz w:val="24"/>
          <w:szCs w:val="24"/>
        </w:rPr>
        <w:t xml:space="preserve">Awards are based on a four year allocation period </w:t>
      </w:r>
      <w:r w:rsidR="007C5DC3" w:rsidRPr="003F2B4F">
        <w:rPr>
          <w:rFonts w:ascii="Calibri" w:hAnsi="Calibri"/>
          <w:sz w:val="24"/>
          <w:szCs w:val="24"/>
        </w:rPr>
        <w:t xml:space="preserve">above a growth of 0.4% of the tax base of the Authority. </w:t>
      </w:r>
    </w:p>
    <w:p w:rsidR="003F2B4F" w:rsidRPr="003F2B4F" w:rsidRDefault="003F2B4F" w:rsidP="003F2B4F">
      <w:pPr>
        <w:spacing w:after="0" w:line="240" w:lineRule="auto"/>
        <w:jc w:val="both"/>
        <w:rPr>
          <w:rFonts w:ascii="Calibri" w:hAnsi="Calibri"/>
          <w:sz w:val="24"/>
          <w:szCs w:val="24"/>
        </w:rPr>
      </w:pPr>
    </w:p>
    <w:p w:rsidR="007C5DC3" w:rsidRDefault="007C5DC3" w:rsidP="003F2B4F">
      <w:pPr>
        <w:spacing w:after="0" w:line="240" w:lineRule="auto"/>
        <w:jc w:val="both"/>
        <w:rPr>
          <w:rFonts w:ascii="Calibri" w:hAnsi="Calibri"/>
          <w:sz w:val="24"/>
          <w:szCs w:val="24"/>
        </w:rPr>
      </w:pPr>
      <w:r w:rsidRPr="003F2B4F">
        <w:rPr>
          <w:rFonts w:ascii="Calibri" w:hAnsi="Calibri"/>
          <w:sz w:val="24"/>
          <w:szCs w:val="24"/>
        </w:rPr>
        <w:t xml:space="preserve">Projections over the duration of this </w:t>
      </w:r>
      <w:r w:rsidR="0080089F" w:rsidRPr="003F2B4F">
        <w:rPr>
          <w:rFonts w:ascii="Calibri" w:hAnsi="Calibri"/>
          <w:sz w:val="24"/>
          <w:szCs w:val="24"/>
        </w:rPr>
        <w:t xml:space="preserve">MTFP have been calculated using the assumptions from the </w:t>
      </w:r>
      <w:r w:rsidR="006F6AE4" w:rsidRPr="003F2B4F">
        <w:rPr>
          <w:rFonts w:ascii="Calibri" w:hAnsi="Calibri"/>
          <w:sz w:val="24"/>
          <w:szCs w:val="24"/>
        </w:rPr>
        <w:t>increase in tax base used to calculate the 2018/19 Council Tax.</w:t>
      </w:r>
      <w:r w:rsidR="00A43DB4" w:rsidRPr="003F2B4F">
        <w:rPr>
          <w:rFonts w:ascii="Calibri" w:hAnsi="Calibri"/>
          <w:sz w:val="24"/>
          <w:szCs w:val="24"/>
        </w:rPr>
        <w:t xml:space="preserve"> </w:t>
      </w:r>
      <w:r w:rsidR="00626A26" w:rsidRPr="003F2B4F">
        <w:rPr>
          <w:rFonts w:ascii="Calibri" w:hAnsi="Calibri"/>
          <w:sz w:val="24"/>
          <w:szCs w:val="24"/>
        </w:rPr>
        <w:t xml:space="preserve">With the proposed developments at various sites within the District as </w:t>
      </w:r>
      <w:r w:rsidR="00F3002A" w:rsidRPr="003F2B4F">
        <w:rPr>
          <w:rFonts w:ascii="Calibri" w:hAnsi="Calibri"/>
          <w:sz w:val="24"/>
          <w:szCs w:val="24"/>
        </w:rPr>
        <w:t>well as the Development Company, this is considered a prudent approach.</w:t>
      </w:r>
    </w:p>
    <w:p w:rsidR="003F2B4F" w:rsidRPr="003F2B4F" w:rsidRDefault="003F2B4F" w:rsidP="003F2B4F">
      <w:pPr>
        <w:spacing w:after="0" w:line="240" w:lineRule="auto"/>
        <w:jc w:val="both"/>
        <w:rPr>
          <w:rFonts w:ascii="Calibri" w:hAnsi="Calibri"/>
          <w:sz w:val="24"/>
          <w:szCs w:val="24"/>
        </w:rPr>
      </w:pPr>
    </w:p>
    <w:p w:rsidR="006E6311" w:rsidRDefault="006E6311" w:rsidP="003F2B4F">
      <w:pPr>
        <w:spacing w:after="0" w:line="240" w:lineRule="auto"/>
        <w:jc w:val="both"/>
        <w:rPr>
          <w:rFonts w:ascii="Calibri" w:hAnsi="Calibri"/>
          <w:sz w:val="24"/>
          <w:szCs w:val="24"/>
        </w:rPr>
      </w:pPr>
      <w:r w:rsidRPr="003F2B4F">
        <w:rPr>
          <w:rFonts w:ascii="Calibri" w:hAnsi="Calibri"/>
          <w:sz w:val="24"/>
          <w:szCs w:val="24"/>
        </w:rPr>
        <w:t>Assumptions around New Homes Bonus are that post the Spending Review in 2020 only legacy payments will be received and that the grant will disappear from 2023/24.</w:t>
      </w:r>
    </w:p>
    <w:p w:rsidR="003F2B4F" w:rsidRPr="003F2B4F" w:rsidRDefault="003F2B4F" w:rsidP="003F2B4F">
      <w:pPr>
        <w:spacing w:after="0" w:line="240" w:lineRule="auto"/>
        <w:jc w:val="both"/>
        <w:rPr>
          <w:rFonts w:ascii="Calibri" w:hAnsi="Calibri"/>
          <w:sz w:val="24"/>
          <w:szCs w:val="24"/>
        </w:rPr>
      </w:pPr>
    </w:p>
    <w:p w:rsidR="001C6B7E" w:rsidRDefault="003B02E5" w:rsidP="003F2B4F">
      <w:pPr>
        <w:spacing w:after="0" w:line="240" w:lineRule="auto"/>
        <w:jc w:val="both"/>
        <w:rPr>
          <w:rFonts w:ascii="Calibri" w:hAnsi="Calibri"/>
          <w:sz w:val="24"/>
          <w:szCs w:val="24"/>
        </w:rPr>
      </w:pPr>
      <w:r w:rsidRPr="003F2B4F">
        <w:rPr>
          <w:rFonts w:ascii="Calibri" w:hAnsi="Calibri"/>
          <w:sz w:val="24"/>
          <w:szCs w:val="24"/>
        </w:rPr>
        <w:t>The Council is in a good financial position in that it does not need to budget to use the New Homes Bonus for core funding of services and other revenue c</w:t>
      </w:r>
      <w:r w:rsidR="001C6B7E" w:rsidRPr="003F2B4F">
        <w:rPr>
          <w:rFonts w:ascii="Calibri" w:hAnsi="Calibri"/>
          <w:sz w:val="24"/>
          <w:szCs w:val="24"/>
        </w:rPr>
        <w:t xml:space="preserve">osts. As this funding is not ring fenced to expenditure of either Revenue or Capital nature it can be utilised for either of these. </w:t>
      </w:r>
      <w:r w:rsidR="00694609" w:rsidRPr="003F2B4F">
        <w:rPr>
          <w:rFonts w:ascii="Calibri" w:hAnsi="Calibri"/>
          <w:sz w:val="24"/>
          <w:szCs w:val="24"/>
        </w:rPr>
        <w:t>The amounts forecast for the term of the MTFP are:</w:t>
      </w:r>
    </w:p>
    <w:p w:rsidR="003F2B4F" w:rsidRPr="003F2B4F" w:rsidRDefault="003F2B4F" w:rsidP="003F2B4F">
      <w:pPr>
        <w:spacing w:after="0" w:line="240" w:lineRule="auto"/>
        <w:jc w:val="both"/>
        <w:rPr>
          <w:rFonts w:ascii="Calibri" w:hAnsi="Calibri"/>
          <w:sz w:val="24"/>
          <w:szCs w:val="24"/>
        </w:rPr>
      </w:pPr>
    </w:p>
    <w:p w:rsidR="0078035F" w:rsidRPr="003F2B4F" w:rsidRDefault="0078035F" w:rsidP="00742A98">
      <w:pPr>
        <w:spacing w:after="0" w:line="240" w:lineRule="auto"/>
        <w:ind w:firstLine="993"/>
        <w:jc w:val="both"/>
        <w:rPr>
          <w:rFonts w:ascii="Calibri" w:hAnsi="Calibri"/>
          <w:sz w:val="24"/>
          <w:szCs w:val="24"/>
        </w:rPr>
      </w:pPr>
      <w:r w:rsidRPr="003F2B4F">
        <w:rPr>
          <w:rFonts w:ascii="Calibri" w:hAnsi="Calibri"/>
          <w:sz w:val="24"/>
          <w:szCs w:val="24"/>
        </w:rPr>
        <w:t>Table 2</w:t>
      </w:r>
    </w:p>
    <w:tbl>
      <w:tblPr>
        <w:tblStyle w:val="TableGrid"/>
        <w:tblW w:w="0" w:type="auto"/>
        <w:jc w:val="center"/>
        <w:tblInd w:w="108" w:type="dxa"/>
        <w:tblLook w:val="04A0" w:firstRow="1" w:lastRow="0" w:firstColumn="1" w:lastColumn="0" w:noHBand="0" w:noVBand="1"/>
      </w:tblPr>
      <w:tblGrid>
        <w:gridCol w:w="1540"/>
        <w:gridCol w:w="1540"/>
        <w:gridCol w:w="1540"/>
        <w:gridCol w:w="1540"/>
        <w:gridCol w:w="1541"/>
      </w:tblGrid>
      <w:tr w:rsidR="0080089F" w:rsidRPr="003F2B4F" w:rsidTr="00742A98">
        <w:trPr>
          <w:jc w:val="center"/>
        </w:trPr>
        <w:tc>
          <w:tcPr>
            <w:tcW w:w="1540" w:type="dxa"/>
          </w:tcPr>
          <w:p w:rsidR="0080089F" w:rsidRPr="003F2B4F" w:rsidRDefault="0080089F" w:rsidP="003F2B4F">
            <w:pPr>
              <w:jc w:val="both"/>
              <w:rPr>
                <w:rFonts w:ascii="Calibri" w:hAnsi="Calibri"/>
                <w:b/>
                <w:sz w:val="24"/>
                <w:szCs w:val="24"/>
              </w:rPr>
            </w:pPr>
            <w:r w:rsidRPr="003F2B4F">
              <w:rPr>
                <w:rFonts w:ascii="Calibri" w:hAnsi="Calibri"/>
                <w:b/>
                <w:sz w:val="24"/>
                <w:szCs w:val="24"/>
              </w:rPr>
              <w:t>Year</w:t>
            </w:r>
          </w:p>
        </w:tc>
        <w:tc>
          <w:tcPr>
            <w:tcW w:w="1540" w:type="dxa"/>
          </w:tcPr>
          <w:p w:rsidR="00910883" w:rsidRPr="003F2B4F" w:rsidRDefault="0080089F" w:rsidP="003F2B4F">
            <w:pPr>
              <w:jc w:val="both"/>
              <w:rPr>
                <w:rFonts w:ascii="Calibri" w:hAnsi="Calibri"/>
                <w:b/>
                <w:sz w:val="24"/>
                <w:szCs w:val="24"/>
              </w:rPr>
            </w:pPr>
            <w:r w:rsidRPr="003F2B4F">
              <w:rPr>
                <w:rFonts w:ascii="Calibri" w:hAnsi="Calibri"/>
                <w:b/>
                <w:sz w:val="24"/>
                <w:szCs w:val="24"/>
              </w:rPr>
              <w:t>2019/20</w:t>
            </w:r>
          </w:p>
          <w:p w:rsidR="0080089F" w:rsidRPr="003F2B4F" w:rsidRDefault="00910883" w:rsidP="003F2B4F">
            <w:pPr>
              <w:jc w:val="both"/>
              <w:rPr>
                <w:rFonts w:ascii="Calibri" w:hAnsi="Calibri"/>
                <w:b/>
                <w:sz w:val="24"/>
                <w:szCs w:val="24"/>
              </w:rPr>
            </w:pPr>
            <w:r w:rsidRPr="003F2B4F">
              <w:rPr>
                <w:rFonts w:ascii="Calibri" w:hAnsi="Calibri"/>
                <w:b/>
                <w:sz w:val="24"/>
                <w:szCs w:val="24"/>
              </w:rPr>
              <w:t>£000</w:t>
            </w:r>
          </w:p>
        </w:tc>
        <w:tc>
          <w:tcPr>
            <w:tcW w:w="1540" w:type="dxa"/>
          </w:tcPr>
          <w:p w:rsidR="00910883" w:rsidRPr="003F2B4F" w:rsidRDefault="0080089F" w:rsidP="003F2B4F">
            <w:pPr>
              <w:jc w:val="both"/>
              <w:rPr>
                <w:rFonts w:ascii="Calibri" w:hAnsi="Calibri"/>
                <w:b/>
                <w:sz w:val="24"/>
                <w:szCs w:val="24"/>
              </w:rPr>
            </w:pPr>
            <w:r w:rsidRPr="003F2B4F">
              <w:rPr>
                <w:rFonts w:ascii="Calibri" w:hAnsi="Calibri"/>
                <w:b/>
                <w:sz w:val="24"/>
                <w:szCs w:val="24"/>
              </w:rPr>
              <w:t>2020/21</w:t>
            </w:r>
            <w:r w:rsidR="00910883" w:rsidRPr="003F2B4F">
              <w:rPr>
                <w:rFonts w:ascii="Calibri" w:hAnsi="Calibri"/>
                <w:b/>
                <w:sz w:val="24"/>
                <w:szCs w:val="24"/>
              </w:rPr>
              <w:t xml:space="preserve"> </w:t>
            </w:r>
          </w:p>
          <w:p w:rsidR="0080089F" w:rsidRPr="003F2B4F" w:rsidRDefault="00910883" w:rsidP="003F2B4F">
            <w:pPr>
              <w:jc w:val="both"/>
              <w:rPr>
                <w:rFonts w:ascii="Calibri" w:hAnsi="Calibri"/>
                <w:b/>
                <w:sz w:val="24"/>
                <w:szCs w:val="24"/>
              </w:rPr>
            </w:pPr>
            <w:r w:rsidRPr="003F2B4F">
              <w:rPr>
                <w:rFonts w:ascii="Calibri" w:hAnsi="Calibri"/>
                <w:b/>
                <w:sz w:val="24"/>
                <w:szCs w:val="24"/>
              </w:rPr>
              <w:t>£000</w:t>
            </w:r>
          </w:p>
        </w:tc>
        <w:tc>
          <w:tcPr>
            <w:tcW w:w="1540" w:type="dxa"/>
          </w:tcPr>
          <w:p w:rsidR="0080089F" w:rsidRPr="003F2B4F" w:rsidRDefault="0080089F" w:rsidP="003F2B4F">
            <w:pPr>
              <w:jc w:val="both"/>
              <w:rPr>
                <w:rFonts w:ascii="Calibri" w:hAnsi="Calibri"/>
                <w:b/>
                <w:sz w:val="24"/>
                <w:szCs w:val="24"/>
              </w:rPr>
            </w:pPr>
            <w:r w:rsidRPr="003F2B4F">
              <w:rPr>
                <w:rFonts w:ascii="Calibri" w:hAnsi="Calibri"/>
                <w:b/>
                <w:sz w:val="24"/>
                <w:szCs w:val="24"/>
              </w:rPr>
              <w:t>2021/22</w:t>
            </w:r>
          </w:p>
          <w:p w:rsidR="00910883" w:rsidRPr="003F2B4F" w:rsidRDefault="00910883" w:rsidP="003F2B4F">
            <w:pPr>
              <w:jc w:val="both"/>
              <w:rPr>
                <w:rFonts w:ascii="Calibri" w:hAnsi="Calibri"/>
                <w:b/>
                <w:sz w:val="24"/>
                <w:szCs w:val="24"/>
              </w:rPr>
            </w:pPr>
            <w:r w:rsidRPr="003F2B4F">
              <w:rPr>
                <w:rFonts w:ascii="Calibri" w:hAnsi="Calibri"/>
                <w:b/>
                <w:sz w:val="24"/>
                <w:szCs w:val="24"/>
              </w:rPr>
              <w:t>£000</w:t>
            </w:r>
          </w:p>
        </w:tc>
        <w:tc>
          <w:tcPr>
            <w:tcW w:w="1541" w:type="dxa"/>
          </w:tcPr>
          <w:p w:rsidR="0080089F" w:rsidRPr="003F2B4F" w:rsidRDefault="0080089F" w:rsidP="003F2B4F">
            <w:pPr>
              <w:jc w:val="both"/>
              <w:rPr>
                <w:rFonts w:ascii="Calibri" w:hAnsi="Calibri"/>
                <w:b/>
                <w:sz w:val="24"/>
                <w:szCs w:val="24"/>
              </w:rPr>
            </w:pPr>
            <w:r w:rsidRPr="003F2B4F">
              <w:rPr>
                <w:rFonts w:ascii="Calibri" w:hAnsi="Calibri"/>
                <w:b/>
                <w:sz w:val="24"/>
                <w:szCs w:val="24"/>
              </w:rPr>
              <w:t>2022/23</w:t>
            </w:r>
          </w:p>
          <w:p w:rsidR="00910883" w:rsidRPr="003F2B4F" w:rsidRDefault="00910883" w:rsidP="003F2B4F">
            <w:pPr>
              <w:jc w:val="both"/>
              <w:rPr>
                <w:rFonts w:ascii="Calibri" w:hAnsi="Calibri"/>
                <w:b/>
                <w:sz w:val="24"/>
                <w:szCs w:val="24"/>
              </w:rPr>
            </w:pPr>
            <w:r w:rsidRPr="003F2B4F">
              <w:rPr>
                <w:rFonts w:ascii="Calibri" w:hAnsi="Calibri"/>
                <w:b/>
                <w:sz w:val="24"/>
                <w:szCs w:val="24"/>
              </w:rPr>
              <w:t>£000</w:t>
            </w:r>
          </w:p>
        </w:tc>
      </w:tr>
      <w:tr w:rsidR="0080089F" w:rsidRPr="003F2B4F" w:rsidTr="00742A98">
        <w:trPr>
          <w:jc w:val="center"/>
        </w:trPr>
        <w:tc>
          <w:tcPr>
            <w:tcW w:w="1540" w:type="dxa"/>
          </w:tcPr>
          <w:p w:rsidR="0080089F" w:rsidRPr="003F2B4F" w:rsidRDefault="0080089F" w:rsidP="003F2B4F">
            <w:pPr>
              <w:jc w:val="both"/>
              <w:rPr>
                <w:rFonts w:ascii="Calibri" w:hAnsi="Calibri"/>
                <w:sz w:val="24"/>
                <w:szCs w:val="24"/>
              </w:rPr>
            </w:pPr>
            <w:r w:rsidRPr="003F2B4F">
              <w:rPr>
                <w:rFonts w:ascii="Calibri" w:hAnsi="Calibri"/>
                <w:sz w:val="24"/>
                <w:szCs w:val="24"/>
              </w:rPr>
              <w:t>2016/17</w:t>
            </w:r>
          </w:p>
        </w:tc>
        <w:tc>
          <w:tcPr>
            <w:tcW w:w="1540" w:type="dxa"/>
          </w:tcPr>
          <w:p w:rsidR="0080089F" w:rsidRPr="003F2B4F" w:rsidRDefault="006E6311" w:rsidP="003F2B4F">
            <w:pPr>
              <w:jc w:val="both"/>
              <w:rPr>
                <w:rFonts w:ascii="Calibri" w:hAnsi="Calibri"/>
                <w:sz w:val="24"/>
                <w:szCs w:val="24"/>
              </w:rPr>
            </w:pPr>
            <w:r w:rsidRPr="003F2B4F">
              <w:rPr>
                <w:rFonts w:ascii="Calibri" w:hAnsi="Calibri"/>
                <w:sz w:val="24"/>
                <w:szCs w:val="24"/>
              </w:rPr>
              <w:t>402</w:t>
            </w:r>
          </w:p>
        </w:tc>
        <w:tc>
          <w:tcPr>
            <w:tcW w:w="1540" w:type="dxa"/>
          </w:tcPr>
          <w:p w:rsidR="0080089F" w:rsidRPr="003F2B4F" w:rsidRDefault="0080089F" w:rsidP="003F2B4F">
            <w:pPr>
              <w:jc w:val="both"/>
              <w:rPr>
                <w:rFonts w:ascii="Calibri" w:hAnsi="Calibri"/>
                <w:sz w:val="24"/>
                <w:szCs w:val="24"/>
              </w:rPr>
            </w:pPr>
          </w:p>
        </w:tc>
        <w:tc>
          <w:tcPr>
            <w:tcW w:w="1540" w:type="dxa"/>
          </w:tcPr>
          <w:p w:rsidR="0080089F" w:rsidRPr="003F2B4F" w:rsidRDefault="0080089F" w:rsidP="003F2B4F">
            <w:pPr>
              <w:jc w:val="both"/>
              <w:rPr>
                <w:rFonts w:ascii="Calibri" w:hAnsi="Calibri"/>
                <w:sz w:val="24"/>
                <w:szCs w:val="24"/>
              </w:rPr>
            </w:pPr>
          </w:p>
        </w:tc>
        <w:tc>
          <w:tcPr>
            <w:tcW w:w="1541" w:type="dxa"/>
          </w:tcPr>
          <w:p w:rsidR="0080089F" w:rsidRPr="003F2B4F" w:rsidRDefault="0080089F" w:rsidP="003F2B4F">
            <w:pPr>
              <w:jc w:val="both"/>
              <w:rPr>
                <w:rFonts w:ascii="Calibri" w:hAnsi="Calibri"/>
                <w:sz w:val="24"/>
                <w:szCs w:val="24"/>
              </w:rPr>
            </w:pPr>
          </w:p>
        </w:tc>
      </w:tr>
      <w:tr w:rsidR="0080089F" w:rsidRPr="003F2B4F" w:rsidTr="00742A98">
        <w:trPr>
          <w:jc w:val="center"/>
        </w:trPr>
        <w:tc>
          <w:tcPr>
            <w:tcW w:w="1540" w:type="dxa"/>
          </w:tcPr>
          <w:p w:rsidR="0080089F" w:rsidRPr="003F2B4F" w:rsidRDefault="0080089F" w:rsidP="003F2B4F">
            <w:pPr>
              <w:jc w:val="both"/>
              <w:rPr>
                <w:rFonts w:ascii="Calibri" w:hAnsi="Calibri"/>
                <w:sz w:val="24"/>
                <w:szCs w:val="24"/>
              </w:rPr>
            </w:pPr>
            <w:r w:rsidRPr="003F2B4F">
              <w:rPr>
                <w:rFonts w:ascii="Calibri" w:hAnsi="Calibri"/>
                <w:sz w:val="24"/>
                <w:szCs w:val="24"/>
              </w:rPr>
              <w:t>2017/18</w:t>
            </w:r>
          </w:p>
        </w:tc>
        <w:tc>
          <w:tcPr>
            <w:tcW w:w="1540" w:type="dxa"/>
          </w:tcPr>
          <w:p w:rsidR="0080089F" w:rsidRPr="003F2B4F" w:rsidRDefault="006E6311" w:rsidP="003F2B4F">
            <w:pPr>
              <w:jc w:val="both"/>
              <w:rPr>
                <w:rFonts w:ascii="Calibri" w:hAnsi="Calibri"/>
                <w:sz w:val="24"/>
                <w:szCs w:val="24"/>
              </w:rPr>
            </w:pPr>
            <w:r w:rsidRPr="003F2B4F">
              <w:rPr>
                <w:rFonts w:ascii="Calibri" w:hAnsi="Calibri"/>
                <w:sz w:val="24"/>
                <w:szCs w:val="24"/>
              </w:rPr>
              <w:t>390</w:t>
            </w:r>
          </w:p>
        </w:tc>
        <w:tc>
          <w:tcPr>
            <w:tcW w:w="1540" w:type="dxa"/>
          </w:tcPr>
          <w:p w:rsidR="0080089F" w:rsidRPr="003F2B4F" w:rsidRDefault="0080089F" w:rsidP="003F2B4F">
            <w:pPr>
              <w:jc w:val="both"/>
              <w:rPr>
                <w:rFonts w:ascii="Calibri" w:hAnsi="Calibri"/>
                <w:sz w:val="24"/>
                <w:szCs w:val="24"/>
              </w:rPr>
            </w:pPr>
            <w:r w:rsidRPr="003F2B4F">
              <w:rPr>
                <w:rFonts w:ascii="Calibri" w:hAnsi="Calibri"/>
                <w:sz w:val="24"/>
                <w:szCs w:val="24"/>
              </w:rPr>
              <w:t>390</w:t>
            </w:r>
          </w:p>
        </w:tc>
        <w:tc>
          <w:tcPr>
            <w:tcW w:w="1540" w:type="dxa"/>
          </w:tcPr>
          <w:p w:rsidR="0080089F" w:rsidRPr="003F2B4F" w:rsidRDefault="0080089F" w:rsidP="003F2B4F">
            <w:pPr>
              <w:jc w:val="both"/>
              <w:rPr>
                <w:rFonts w:ascii="Calibri" w:hAnsi="Calibri"/>
                <w:sz w:val="24"/>
                <w:szCs w:val="24"/>
              </w:rPr>
            </w:pPr>
          </w:p>
        </w:tc>
        <w:tc>
          <w:tcPr>
            <w:tcW w:w="1541" w:type="dxa"/>
          </w:tcPr>
          <w:p w:rsidR="0080089F" w:rsidRPr="003F2B4F" w:rsidRDefault="0080089F" w:rsidP="003F2B4F">
            <w:pPr>
              <w:jc w:val="both"/>
              <w:rPr>
                <w:rFonts w:ascii="Calibri" w:hAnsi="Calibri"/>
                <w:sz w:val="24"/>
                <w:szCs w:val="24"/>
              </w:rPr>
            </w:pPr>
          </w:p>
        </w:tc>
      </w:tr>
      <w:tr w:rsidR="0080089F" w:rsidRPr="003F2B4F" w:rsidTr="00742A98">
        <w:trPr>
          <w:jc w:val="center"/>
        </w:trPr>
        <w:tc>
          <w:tcPr>
            <w:tcW w:w="1540" w:type="dxa"/>
          </w:tcPr>
          <w:p w:rsidR="0080089F" w:rsidRPr="003F2B4F" w:rsidRDefault="0080089F" w:rsidP="003F2B4F">
            <w:pPr>
              <w:jc w:val="both"/>
              <w:rPr>
                <w:rFonts w:ascii="Calibri" w:hAnsi="Calibri"/>
                <w:sz w:val="24"/>
                <w:szCs w:val="24"/>
              </w:rPr>
            </w:pPr>
            <w:r w:rsidRPr="003F2B4F">
              <w:rPr>
                <w:rFonts w:ascii="Calibri" w:hAnsi="Calibri"/>
                <w:sz w:val="24"/>
                <w:szCs w:val="24"/>
              </w:rPr>
              <w:t>201</w:t>
            </w:r>
            <w:r w:rsidR="00910883" w:rsidRPr="003F2B4F">
              <w:rPr>
                <w:rFonts w:ascii="Calibri" w:hAnsi="Calibri"/>
                <w:sz w:val="24"/>
                <w:szCs w:val="24"/>
              </w:rPr>
              <w:t>8</w:t>
            </w:r>
            <w:r w:rsidRPr="003F2B4F">
              <w:rPr>
                <w:rFonts w:ascii="Calibri" w:hAnsi="Calibri"/>
                <w:sz w:val="24"/>
                <w:szCs w:val="24"/>
              </w:rPr>
              <w:t>/</w:t>
            </w:r>
            <w:r w:rsidR="00910883" w:rsidRPr="003F2B4F">
              <w:rPr>
                <w:rFonts w:ascii="Calibri" w:hAnsi="Calibri"/>
                <w:sz w:val="24"/>
                <w:szCs w:val="24"/>
              </w:rPr>
              <w:t>19</w:t>
            </w:r>
          </w:p>
        </w:tc>
        <w:tc>
          <w:tcPr>
            <w:tcW w:w="1540" w:type="dxa"/>
          </w:tcPr>
          <w:p w:rsidR="0080089F" w:rsidRPr="003F2B4F" w:rsidRDefault="00910883" w:rsidP="003F2B4F">
            <w:pPr>
              <w:jc w:val="both"/>
              <w:rPr>
                <w:rFonts w:ascii="Calibri" w:hAnsi="Calibri"/>
                <w:sz w:val="24"/>
                <w:szCs w:val="24"/>
              </w:rPr>
            </w:pPr>
            <w:r w:rsidRPr="003F2B4F">
              <w:rPr>
                <w:rFonts w:ascii="Calibri" w:hAnsi="Calibri"/>
                <w:sz w:val="24"/>
                <w:szCs w:val="24"/>
              </w:rPr>
              <w:t>379</w:t>
            </w:r>
          </w:p>
        </w:tc>
        <w:tc>
          <w:tcPr>
            <w:tcW w:w="1540" w:type="dxa"/>
          </w:tcPr>
          <w:p w:rsidR="0080089F" w:rsidRPr="003F2B4F" w:rsidRDefault="00910883" w:rsidP="003F2B4F">
            <w:pPr>
              <w:jc w:val="both"/>
              <w:rPr>
                <w:rFonts w:ascii="Calibri" w:hAnsi="Calibri"/>
                <w:sz w:val="24"/>
                <w:szCs w:val="24"/>
              </w:rPr>
            </w:pPr>
            <w:r w:rsidRPr="003F2B4F">
              <w:rPr>
                <w:rFonts w:ascii="Calibri" w:hAnsi="Calibri"/>
                <w:sz w:val="24"/>
                <w:szCs w:val="24"/>
              </w:rPr>
              <w:t>379</w:t>
            </w:r>
          </w:p>
        </w:tc>
        <w:tc>
          <w:tcPr>
            <w:tcW w:w="1540" w:type="dxa"/>
          </w:tcPr>
          <w:p w:rsidR="0080089F" w:rsidRPr="003F2B4F" w:rsidRDefault="00910883" w:rsidP="003F2B4F">
            <w:pPr>
              <w:jc w:val="both"/>
              <w:rPr>
                <w:rFonts w:ascii="Calibri" w:hAnsi="Calibri"/>
                <w:sz w:val="24"/>
                <w:szCs w:val="24"/>
              </w:rPr>
            </w:pPr>
            <w:r w:rsidRPr="003F2B4F">
              <w:rPr>
                <w:rFonts w:ascii="Calibri" w:hAnsi="Calibri"/>
                <w:sz w:val="24"/>
                <w:szCs w:val="24"/>
              </w:rPr>
              <w:t>379</w:t>
            </w:r>
          </w:p>
        </w:tc>
        <w:tc>
          <w:tcPr>
            <w:tcW w:w="1541" w:type="dxa"/>
          </w:tcPr>
          <w:p w:rsidR="0080089F" w:rsidRPr="003F2B4F" w:rsidRDefault="0080089F" w:rsidP="003F2B4F">
            <w:pPr>
              <w:jc w:val="both"/>
              <w:rPr>
                <w:rFonts w:ascii="Calibri" w:hAnsi="Calibri"/>
                <w:sz w:val="24"/>
                <w:szCs w:val="24"/>
              </w:rPr>
            </w:pPr>
          </w:p>
        </w:tc>
      </w:tr>
      <w:tr w:rsidR="0080089F" w:rsidRPr="003F2B4F" w:rsidTr="00742A98">
        <w:trPr>
          <w:jc w:val="center"/>
        </w:trPr>
        <w:tc>
          <w:tcPr>
            <w:tcW w:w="1540" w:type="dxa"/>
          </w:tcPr>
          <w:p w:rsidR="0080089F" w:rsidRPr="003F2B4F" w:rsidRDefault="0080089F" w:rsidP="003F2B4F">
            <w:pPr>
              <w:jc w:val="both"/>
              <w:rPr>
                <w:rFonts w:ascii="Calibri" w:hAnsi="Calibri"/>
                <w:sz w:val="24"/>
                <w:szCs w:val="24"/>
              </w:rPr>
            </w:pPr>
            <w:r w:rsidRPr="003F2B4F">
              <w:rPr>
                <w:rFonts w:ascii="Calibri" w:hAnsi="Calibri"/>
                <w:sz w:val="24"/>
                <w:szCs w:val="24"/>
              </w:rPr>
              <w:t>20</w:t>
            </w:r>
            <w:r w:rsidR="00910883" w:rsidRPr="003F2B4F">
              <w:rPr>
                <w:rFonts w:ascii="Calibri" w:hAnsi="Calibri"/>
                <w:sz w:val="24"/>
                <w:szCs w:val="24"/>
              </w:rPr>
              <w:t>19</w:t>
            </w:r>
            <w:r w:rsidRPr="003F2B4F">
              <w:rPr>
                <w:rFonts w:ascii="Calibri" w:hAnsi="Calibri"/>
                <w:sz w:val="24"/>
                <w:szCs w:val="24"/>
              </w:rPr>
              <w:t>/</w:t>
            </w:r>
            <w:r w:rsidR="00910883" w:rsidRPr="003F2B4F">
              <w:rPr>
                <w:rFonts w:ascii="Calibri" w:hAnsi="Calibri"/>
                <w:sz w:val="24"/>
                <w:szCs w:val="24"/>
              </w:rPr>
              <w:t>20</w:t>
            </w:r>
          </w:p>
        </w:tc>
        <w:tc>
          <w:tcPr>
            <w:tcW w:w="1540" w:type="dxa"/>
          </w:tcPr>
          <w:p w:rsidR="0080089F" w:rsidRPr="003F2B4F" w:rsidRDefault="006E6311" w:rsidP="003F2B4F">
            <w:pPr>
              <w:jc w:val="both"/>
              <w:rPr>
                <w:rFonts w:ascii="Calibri" w:hAnsi="Calibri"/>
                <w:sz w:val="24"/>
                <w:szCs w:val="24"/>
              </w:rPr>
            </w:pPr>
            <w:r w:rsidRPr="003F2B4F">
              <w:rPr>
                <w:rFonts w:ascii="Calibri" w:hAnsi="Calibri"/>
                <w:sz w:val="24"/>
                <w:szCs w:val="24"/>
              </w:rPr>
              <w:t>409</w:t>
            </w:r>
          </w:p>
        </w:tc>
        <w:tc>
          <w:tcPr>
            <w:tcW w:w="1540" w:type="dxa"/>
          </w:tcPr>
          <w:p w:rsidR="0080089F" w:rsidRPr="003F2B4F" w:rsidRDefault="006E6311" w:rsidP="003F2B4F">
            <w:pPr>
              <w:jc w:val="both"/>
              <w:rPr>
                <w:rFonts w:ascii="Calibri" w:hAnsi="Calibri"/>
                <w:sz w:val="24"/>
                <w:szCs w:val="24"/>
              </w:rPr>
            </w:pPr>
            <w:r w:rsidRPr="003F2B4F">
              <w:rPr>
                <w:rFonts w:ascii="Calibri" w:hAnsi="Calibri"/>
                <w:sz w:val="24"/>
                <w:szCs w:val="24"/>
              </w:rPr>
              <w:t>409</w:t>
            </w:r>
          </w:p>
        </w:tc>
        <w:tc>
          <w:tcPr>
            <w:tcW w:w="1540" w:type="dxa"/>
          </w:tcPr>
          <w:p w:rsidR="0080089F" w:rsidRPr="003F2B4F" w:rsidRDefault="006E6311" w:rsidP="003F2B4F">
            <w:pPr>
              <w:jc w:val="both"/>
              <w:rPr>
                <w:rFonts w:ascii="Calibri" w:hAnsi="Calibri"/>
                <w:sz w:val="24"/>
                <w:szCs w:val="24"/>
              </w:rPr>
            </w:pPr>
            <w:r w:rsidRPr="003F2B4F">
              <w:rPr>
                <w:rFonts w:ascii="Calibri" w:hAnsi="Calibri"/>
                <w:sz w:val="24"/>
                <w:szCs w:val="24"/>
              </w:rPr>
              <w:t>409</w:t>
            </w:r>
          </w:p>
        </w:tc>
        <w:tc>
          <w:tcPr>
            <w:tcW w:w="1541" w:type="dxa"/>
          </w:tcPr>
          <w:p w:rsidR="0080089F" w:rsidRPr="003F2B4F" w:rsidRDefault="006E6311" w:rsidP="003F2B4F">
            <w:pPr>
              <w:jc w:val="both"/>
              <w:rPr>
                <w:rFonts w:ascii="Calibri" w:hAnsi="Calibri"/>
                <w:sz w:val="24"/>
                <w:szCs w:val="24"/>
              </w:rPr>
            </w:pPr>
            <w:r w:rsidRPr="003F2B4F">
              <w:rPr>
                <w:rFonts w:ascii="Calibri" w:hAnsi="Calibri"/>
                <w:sz w:val="24"/>
                <w:szCs w:val="24"/>
              </w:rPr>
              <w:t>409</w:t>
            </w:r>
          </w:p>
        </w:tc>
      </w:tr>
      <w:tr w:rsidR="0080089F" w:rsidRPr="003F2B4F" w:rsidTr="00742A98">
        <w:trPr>
          <w:jc w:val="center"/>
        </w:trPr>
        <w:tc>
          <w:tcPr>
            <w:tcW w:w="1540" w:type="dxa"/>
          </w:tcPr>
          <w:p w:rsidR="0080089F" w:rsidRPr="003F2B4F" w:rsidRDefault="00910883" w:rsidP="003F2B4F">
            <w:pPr>
              <w:jc w:val="both"/>
              <w:rPr>
                <w:rFonts w:ascii="Calibri" w:hAnsi="Calibri"/>
                <w:b/>
                <w:sz w:val="24"/>
                <w:szCs w:val="24"/>
              </w:rPr>
            </w:pPr>
            <w:r w:rsidRPr="003F2B4F">
              <w:rPr>
                <w:rFonts w:ascii="Calibri" w:hAnsi="Calibri"/>
                <w:b/>
                <w:sz w:val="24"/>
                <w:szCs w:val="24"/>
              </w:rPr>
              <w:t>Total</w:t>
            </w:r>
          </w:p>
        </w:tc>
        <w:tc>
          <w:tcPr>
            <w:tcW w:w="1540" w:type="dxa"/>
          </w:tcPr>
          <w:p w:rsidR="0080089F" w:rsidRPr="003F2B4F" w:rsidRDefault="006E6311" w:rsidP="003F2B4F">
            <w:pPr>
              <w:jc w:val="both"/>
              <w:rPr>
                <w:rFonts w:ascii="Calibri" w:hAnsi="Calibri"/>
                <w:b/>
                <w:sz w:val="24"/>
                <w:szCs w:val="24"/>
              </w:rPr>
            </w:pPr>
            <w:r w:rsidRPr="003F2B4F">
              <w:rPr>
                <w:rFonts w:ascii="Calibri" w:hAnsi="Calibri"/>
                <w:b/>
                <w:sz w:val="24"/>
                <w:szCs w:val="24"/>
              </w:rPr>
              <w:t>1,580</w:t>
            </w:r>
          </w:p>
        </w:tc>
        <w:tc>
          <w:tcPr>
            <w:tcW w:w="1540" w:type="dxa"/>
          </w:tcPr>
          <w:p w:rsidR="0080089F" w:rsidRPr="003F2B4F" w:rsidRDefault="00E11B70" w:rsidP="003F2B4F">
            <w:pPr>
              <w:jc w:val="both"/>
              <w:rPr>
                <w:rFonts w:ascii="Calibri" w:hAnsi="Calibri"/>
                <w:b/>
                <w:sz w:val="24"/>
                <w:szCs w:val="24"/>
              </w:rPr>
            </w:pPr>
            <w:r w:rsidRPr="003F2B4F">
              <w:rPr>
                <w:rFonts w:ascii="Calibri" w:hAnsi="Calibri"/>
                <w:b/>
                <w:sz w:val="24"/>
                <w:szCs w:val="24"/>
              </w:rPr>
              <w:t>1,1</w:t>
            </w:r>
            <w:r w:rsidR="006E6311" w:rsidRPr="003F2B4F">
              <w:rPr>
                <w:rFonts w:ascii="Calibri" w:hAnsi="Calibri"/>
                <w:b/>
                <w:sz w:val="24"/>
                <w:szCs w:val="24"/>
              </w:rPr>
              <w:t>78</w:t>
            </w:r>
          </w:p>
        </w:tc>
        <w:tc>
          <w:tcPr>
            <w:tcW w:w="1540" w:type="dxa"/>
          </w:tcPr>
          <w:p w:rsidR="0080089F" w:rsidRPr="003F2B4F" w:rsidRDefault="006E6311" w:rsidP="003F2B4F">
            <w:pPr>
              <w:jc w:val="both"/>
              <w:rPr>
                <w:rFonts w:ascii="Calibri" w:hAnsi="Calibri"/>
                <w:b/>
                <w:sz w:val="24"/>
                <w:szCs w:val="24"/>
              </w:rPr>
            </w:pPr>
            <w:r w:rsidRPr="003F2B4F">
              <w:rPr>
                <w:rFonts w:ascii="Calibri" w:hAnsi="Calibri"/>
                <w:b/>
                <w:sz w:val="24"/>
                <w:szCs w:val="24"/>
              </w:rPr>
              <w:t>788</w:t>
            </w:r>
          </w:p>
        </w:tc>
        <w:tc>
          <w:tcPr>
            <w:tcW w:w="1541" w:type="dxa"/>
          </w:tcPr>
          <w:p w:rsidR="0080089F" w:rsidRPr="003F2B4F" w:rsidRDefault="006E6311" w:rsidP="003F2B4F">
            <w:pPr>
              <w:jc w:val="both"/>
              <w:rPr>
                <w:rFonts w:ascii="Calibri" w:hAnsi="Calibri"/>
                <w:b/>
                <w:sz w:val="24"/>
                <w:szCs w:val="24"/>
              </w:rPr>
            </w:pPr>
            <w:r w:rsidRPr="003F2B4F">
              <w:rPr>
                <w:rFonts w:ascii="Calibri" w:hAnsi="Calibri"/>
                <w:b/>
                <w:sz w:val="24"/>
                <w:szCs w:val="24"/>
              </w:rPr>
              <w:t>409</w:t>
            </w:r>
          </w:p>
        </w:tc>
      </w:tr>
    </w:tbl>
    <w:p w:rsidR="00E11B70" w:rsidRPr="003F2B4F" w:rsidRDefault="00E11B70" w:rsidP="003F2B4F">
      <w:pPr>
        <w:spacing w:after="0" w:line="240" w:lineRule="auto"/>
        <w:jc w:val="both"/>
        <w:rPr>
          <w:rFonts w:ascii="Calibri" w:hAnsi="Calibri"/>
          <w:sz w:val="24"/>
          <w:szCs w:val="24"/>
        </w:rPr>
      </w:pPr>
    </w:p>
    <w:p w:rsidR="00727D50" w:rsidRDefault="00910883" w:rsidP="003F2B4F">
      <w:pPr>
        <w:spacing w:after="0" w:line="240" w:lineRule="auto"/>
        <w:jc w:val="both"/>
        <w:rPr>
          <w:rFonts w:ascii="Calibri" w:hAnsi="Calibri"/>
          <w:sz w:val="24"/>
          <w:szCs w:val="24"/>
        </w:rPr>
      </w:pPr>
      <w:r w:rsidRPr="003F2B4F">
        <w:rPr>
          <w:rFonts w:ascii="Calibri" w:hAnsi="Calibri"/>
          <w:sz w:val="24"/>
          <w:szCs w:val="24"/>
        </w:rPr>
        <w:t xml:space="preserve">The Council has not previously budgeted for this income, and as such does not need to use this to support its service and non-service revenue expenditure. </w:t>
      </w:r>
      <w:r w:rsidR="00A55D19" w:rsidRPr="003F2B4F">
        <w:rPr>
          <w:rFonts w:ascii="Calibri" w:hAnsi="Calibri"/>
          <w:sz w:val="24"/>
          <w:szCs w:val="24"/>
        </w:rPr>
        <w:t>The decision was taken to include this within the 2018/19 budget presented to Council on the 8</w:t>
      </w:r>
      <w:r w:rsidR="00A55D19" w:rsidRPr="003F2B4F">
        <w:rPr>
          <w:rFonts w:ascii="Calibri" w:hAnsi="Calibri"/>
          <w:sz w:val="24"/>
          <w:szCs w:val="24"/>
          <w:vertAlign w:val="superscript"/>
        </w:rPr>
        <w:t>th</w:t>
      </w:r>
      <w:r w:rsidR="00A55D19" w:rsidRPr="003F2B4F">
        <w:rPr>
          <w:rFonts w:ascii="Calibri" w:hAnsi="Calibri"/>
          <w:sz w:val="24"/>
          <w:szCs w:val="24"/>
        </w:rPr>
        <w:t xml:space="preserve"> March 2018 in order to improve transparency. This was then shown to be moved to reserves on the Balance Sheet. </w:t>
      </w:r>
      <w:r w:rsidRPr="003F2B4F">
        <w:rPr>
          <w:rFonts w:ascii="Calibri" w:hAnsi="Calibri"/>
          <w:sz w:val="24"/>
          <w:szCs w:val="24"/>
        </w:rPr>
        <w:t xml:space="preserve">This money has been previously used in order to fund key regeneration projects </w:t>
      </w:r>
      <w:r w:rsidR="00A55D19" w:rsidRPr="003F2B4F">
        <w:rPr>
          <w:rFonts w:ascii="Calibri" w:hAnsi="Calibri"/>
          <w:sz w:val="24"/>
          <w:szCs w:val="24"/>
        </w:rPr>
        <w:t>an</w:t>
      </w:r>
      <w:r w:rsidR="00E64D9A" w:rsidRPr="003F2B4F">
        <w:rPr>
          <w:rFonts w:ascii="Calibri" w:hAnsi="Calibri"/>
          <w:sz w:val="24"/>
          <w:szCs w:val="24"/>
        </w:rPr>
        <w:t>d this is proposed to continue. Should this funding cease to exist post the Governments Comprehensive Spending Review in 2020, this will be a large loss to the Council, as Capital resources are scarce, meaning that any future infrastructure projects may need to seek third party investment or to use borrowing.</w:t>
      </w:r>
    </w:p>
    <w:p w:rsidR="003F2B4F" w:rsidRPr="003F2B4F" w:rsidRDefault="003F2B4F" w:rsidP="003F2B4F">
      <w:pPr>
        <w:spacing w:after="0" w:line="240" w:lineRule="auto"/>
        <w:jc w:val="both"/>
        <w:rPr>
          <w:rFonts w:ascii="Calibri" w:hAnsi="Calibri"/>
          <w:sz w:val="24"/>
          <w:szCs w:val="24"/>
        </w:rPr>
      </w:pPr>
    </w:p>
    <w:p w:rsidR="00007F5C" w:rsidRDefault="00007F5C" w:rsidP="003F2B4F">
      <w:pPr>
        <w:spacing w:after="0" w:line="240" w:lineRule="auto"/>
        <w:jc w:val="both"/>
        <w:rPr>
          <w:rFonts w:ascii="Calibri" w:hAnsi="Calibri"/>
          <w:sz w:val="24"/>
          <w:szCs w:val="24"/>
        </w:rPr>
      </w:pPr>
      <w:r w:rsidRPr="003F2B4F">
        <w:rPr>
          <w:rFonts w:ascii="Calibri" w:hAnsi="Calibri"/>
          <w:sz w:val="24"/>
          <w:szCs w:val="24"/>
        </w:rPr>
        <w:lastRenderedPageBreak/>
        <w:t xml:space="preserve">Due to this, it is proposed to set a strategy for use of these funds. With scarce Capital resources (as seen in section 1.12), there are only finite sources of these funds: by selling an asset, receiving external funding or financing from borrowing (which ultimately requires financing through revenue), this </w:t>
      </w:r>
      <w:r w:rsidR="0034257A" w:rsidRPr="003F2B4F">
        <w:rPr>
          <w:rFonts w:ascii="Calibri" w:hAnsi="Calibri"/>
          <w:sz w:val="24"/>
          <w:szCs w:val="24"/>
        </w:rPr>
        <w:t>document proposes to allocate 50</w:t>
      </w:r>
      <w:r w:rsidRPr="003F2B4F">
        <w:rPr>
          <w:rFonts w:ascii="Calibri" w:hAnsi="Calibri"/>
          <w:sz w:val="24"/>
          <w:szCs w:val="24"/>
        </w:rPr>
        <w:t>% of any receipt from New Homes Bonus for Capital financing</w:t>
      </w:r>
      <w:r w:rsidR="00E11B70" w:rsidRPr="003F2B4F">
        <w:rPr>
          <w:rFonts w:ascii="Calibri" w:hAnsi="Calibri"/>
          <w:sz w:val="24"/>
          <w:szCs w:val="24"/>
        </w:rPr>
        <w:t xml:space="preserve"> of short life assets</w:t>
      </w:r>
      <w:r w:rsidR="00977E5F" w:rsidRPr="003F2B4F">
        <w:rPr>
          <w:rFonts w:ascii="Calibri" w:hAnsi="Calibri"/>
          <w:sz w:val="24"/>
          <w:szCs w:val="24"/>
        </w:rPr>
        <w:t xml:space="preserve"> (where asset lives are less than 10 years)</w:t>
      </w:r>
      <w:r w:rsidRPr="003F2B4F">
        <w:rPr>
          <w:rFonts w:ascii="Calibri" w:hAnsi="Calibri"/>
          <w:sz w:val="24"/>
          <w:szCs w:val="24"/>
        </w:rPr>
        <w:t>.</w:t>
      </w:r>
      <w:r w:rsidR="00E11B70" w:rsidRPr="003F2B4F">
        <w:rPr>
          <w:rFonts w:ascii="Calibri" w:hAnsi="Calibri"/>
          <w:sz w:val="24"/>
          <w:szCs w:val="24"/>
        </w:rPr>
        <w:t xml:space="preserve"> </w:t>
      </w:r>
      <w:r w:rsidRPr="003F2B4F">
        <w:rPr>
          <w:rFonts w:ascii="Calibri" w:hAnsi="Calibri"/>
          <w:sz w:val="24"/>
          <w:szCs w:val="24"/>
        </w:rPr>
        <w:t xml:space="preserve"> </w:t>
      </w:r>
    </w:p>
    <w:p w:rsidR="003F2B4F" w:rsidRPr="003F2B4F" w:rsidRDefault="003F2B4F" w:rsidP="003F2B4F">
      <w:pPr>
        <w:spacing w:after="0" w:line="240" w:lineRule="auto"/>
        <w:jc w:val="both"/>
        <w:rPr>
          <w:rFonts w:ascii="Calibri" w:hAnsi="Calibri"/>
          <w:sz w:val="24"/>
          <w:szCs w:val="24"/>
        </w:rPr>
      </w:pPr>
    </w:p>
    <w:p w:rsidR="00820AD0" w:rsidRPr="003F2B4F" w:rsidRDefault="0078035F" w:rsidP="003F2B4F">
      <w:pPr>
        <w:spacing w:after="0" w:line="240" w:lineRule="auto"/>
        <w:jc w:val="both"/>
        <w:rPr>
          <w:rFonts w:ascii="Calibri" w:hAnsi="Calibri"/>
          <w:sz w:val="24"/>
          <w:szCs w:val="24"/>
        </w:rPr>
      </w:pPr>
      <w:r w:rsidRPr="003F2B4F">
        <w:rPr>
          <w:rFonts w:ascii="Calibri" w:hAnsi="Calibri"/>
          <w:b/>
          <w:sz w:val="24"/>
          <w:szCs w:val="24"/>
        </w:rPr>
        <w:t>1.7</w:t>
      </w:r>
      <w:r w:rsidRPr="003F2B4F">
        <w:rPr>
          <w:rFonts w:ascii="Calibri" w:hAnsi="Calibri"/>
          <w:b/>
          <w:sz w:val="24"/>
          <w:szCs w:val="24"/>
        </w:rPr>
        <w:tab/>
      </w:r>
      <w:r w:rsidR="00820AD0" w:rsidRPr="003F2B4F">
        <w:rPr>
          <w:rFonts w:ascii="Calibri" w:hAnsi="Calibri"/>
          <w:b/>
          <w:sz w:val="24"/>
          <w:szCs w:val="24"/>
          <w:u w:val="single"/>
        </w:rPr>
        <w:t>Income from Fees and Charges</w:t>
      </w:r>
    </w:p>
    <w:p w:rsidR="003F2B4F" w:rsidRDefault="003F2B4F" w:rsidP="003F2B4F">
      <w:pPr>
        <w:spacing w:after="0" w:line="240" w:lineRule="auto"/>
        <w:jc w:val="both"/>
        <w:rPr>
          <w:rFonts w:ascii="Calibri" w:hAnsi="Calibri"/>
          <w:sz w:val="24"/>
          <w:szCs w:val="24"/>
        </w:rPr>
      </w:pPr>
    </w:p>
    <w:p w:rsidR="00727D50" w:rsidRDefault="00727D50" w:rsidP="003F2B4F">
      <w:pPr>
        <w:spacing w:after="0" w:line="240" w:lineRule="auto"/>
        <w:jc w:val="both"/>
        <w:rPr>
          <w:rFonts w:ascii="Calibri" w:hAnsi="Calibri"/>
          <w:sz w:val="24"/>
          <w:szCs w:val="24"/>
        </w:rPr>
      </w:pPr>
      <w:r w:rsidRPr="003F2B4F">
        <w:rPr>
          <w:rFonts w:ascii="Calibri" w:hAnsi="Calibri"/>
          <w:sz w:val="24"/>
          <w:szCs w:val="24"/>
        </w:rPr>
        <w:t xml:space="preserve">The generation of income from fees and charges is an essential element of the Council’s revenue budget. The overall level of fees and charges is substantially affected by legislation with many chargeable services prevented from recovering more than their costs. The objective therefore is where services are chargeable (and the level of charges is determined by the Council) then they should achieve break-even. Opportunities will also be explored for premium pricing for discretionary services where the Council is able to deliver variable levels of service. The total income from fees and charges included in the projections is </w:t>
      </w:r>
      <w:r w:rsidR="009D0863" w:rsidRPr="003F2B4F">
        <w:rPr>
          <w:rFonts w:ascii="Calibri" w:hAnsi="Calibri"/>
          <w:sz w:val="24"/>
          <w:szCs w:val="24"/>
        </w:rPr>
        <w:t>as follows (the figures for 2016</w:t>
      </w:r>
      <w:r w:rsidRPr="003F2B4F">
        <w:rPr>
          <w:rFonts w:ascii="Calibri" w:hAnsi="Calibri"/>
          <w:sz w:val="24"/>
          <w:szCs w:val="24"/>
        </w:rPr>
        <w:t>/1</w:t>
      </w:r>
      <w:r w:rsidR="009D0863" w:rsidRPr="003F2B4F">
        <w:rPr>
          <w:rFonts w:ascii="Calibri" w:hAnsi="Calibri"/>
          <w:sz w:val="24"/>
          <w:szCs w:val="24"/>
        </w:rPr>
        <w:t>7</w:t>
      </w:r>
      <w:r w:rsidRPr="003F2B4F">
        <w:rPr>
          <w:rFonts w:ascii="Calibri" w:hAnsi="Calibri"/>
          <w:sz w:val="24"/>
          <w:szCs w:val="24"/>
        </w:rPr>
        <w:t xml:space="preserve"> have been included for comparison purposes):</w:t>
      </w:r>
    </w:p>
    <w:p w:rsidR="003F2B4F" w:rsidRPr="003F2B4F" w:rsidRDefault="003F2B4F" w:rsidP="003F2B4F">
      <w:pPr>
        <w:spacing w:after="0" w:line="240" w:lineRule="auto"/>
        <w:jc w:val="both"/>
        <w:rPr>
          <w:rFonts w:ascii="Calibri" w:hAnsi="Calibri"/>
          <w:sz w:val="24"/>
          <w:szCs w:val="24"/>
        </w:rPr>
      </w:pPr>
    </w:p>
    <w:p w:rsidR="0078035F" w:rsidRPr="003F2B4F" w:rsidRDefault="0078035F" w:rsidP="003F2B4F">
      <w:pPr>
        <w:spacing w:after="0" w:line="240" w:lineRule="auto"/>
        <w:jc w:val="both"/>
        <w:rPr>
          <w:rFonts w:ascii="Calibri" w:hAnsi="Calibri"/>
          <w:sz w:val="24"/>
          <w:szCs w:val="24"/>
        </w:rPr>
      </w:pPr>
      <w:r w:rsidRPr="003F2B4F">
        <w:rPr>
          <w:rFonts w:ascii="Calibri" w:hAnsi="Calibri"/>
          <w:sz w:val="24"/>
          <w:szCs w:val="24"/>
        </w:rPr>
        <w:t>Table 3</w:t>
      </w:r>
    </w:p>
    <w:tbl>
      <w:tblPr>
        <w:tblStyle w:val="TableGrid"/>
        <w:tblW w:w="9781" w:type="dxa"/>
        <w:tblInd w:w="108" w:type="dxa"/>
        <w:tblLayout w:type="fixed"/>
        <w:tblLook w:val="04A0" w:firstRow="1" w:lastRow="0" w:firstColumn="1" w:lastColumn="0" w:noHBand="0" w:noVBand="1"/>
      </w:tblPr>
      <w:tblGrid>
        <w:gridCol w:w="1843"/>
        <w:gridCol w:w="1323"/>
        <w:gridCol w:w="1323"/>
        <w:gridCol w:w="1323"/>
        <w:gridCol w:w="1323"/>
        <w:gridCol w:w="1323"/>
        <w:gridCol w:w="1323"/>
      </w:tblGrid>
      <w:tr w:rsidR="006E6311" w:rsidRPr="003F2B4F" w:rsidTr="003F2B4F">
        <w:tc>
          <w:tcPr>
            <w:tcW w:w="1843" w:type="dxa"/>
          </w:tcPr>
          <w:p w:rsidR="006E6311" w:rsidRPr="003F2B4F" w:rsidRDefault="006E6311" w:rsidP="003F2B4F">
            <w:pPr>
              <w:pStyle w:val="Default"/>
              <w:jc w:val="both"/>
              <w:rPr>
                <w:rFonts w:ascii="Calibri" w:hAnsi="Calibri"/>
              </w:rPr>
            </w:pPr>
          </w:p>
        </w:tc>
        <w:tc>
          <w:tcPr>
            <w:tcW w:w="1323" w:type="dxa"/>
          </w:tcPr>
          <w:p w:rsidR="006E6311" w:rsidRPr="003F2B4F" w:rsidRDefault="006E6311" w:rsidP="003F2B4F">
            <w:pPr>
              <w:pStyle w:val="Default"/>
              <w:jc w:val="right"/>
              <w:rPr>
                <w:rFonts w:ascii="Calibri" w:hAnsi="Calibri"/>
                <w:b/>
              </w:rPr>
            </w:pPr>
            <w:r w:rsidRPr="003F2B4F">
              <w:rPr>
                <w:rFonts w:ascii="Calibri" w:hAnsi="Calibri"/>
                <w:b/>
              </w:rPr>
              <w:t xml:space="preserve">2017/18 (Original Budget) </w:t>
            </w:r>
          </w:p>
          <w:p w:rsidR="006E6311" w:rsidRPr="003F2B4F" w:rsidRDefault="006E6311" w:rsidP="003F2B4F">
            <w:pPr>
              <w:pStyle w:val="Default"/>
              <w:jc w:val="right"/>
              <w:rPr>
                <w:rFonts w:ascii="Calibri" w:hAnsi="Calibri"/>
                <w:b/>
              </w:rPr>
            </w:pPr>
            <w:r w:rsidRPr="003F2B4F">
              <w:rPr>
                <w:rFonts w:ascii="Calibri" w:hAnsi="Calibri"/>
                <w:b/>
              </w:rPr>
              <w:t>£</w:t>
            </w:r>
          </w:p>
        </w:tc>
        <w:tc>
          <w:tcPr>
            <w:tcW w:w="1323" w:type="dxa"/>
          </w:tcPr>
          <w:p w:rsidR="006E6311" w:rsidRPr="003F2B4F" w:rsidRDefault="006E6311" w:rsidP="003F2B4F">
            <w:pPr>
              <w:pStyle w:val="Default"/>
              <w:jc w:val="right"/>
              <w:rPr>
                <w:rFonts w:ascii="Calibri" w:hAnsi="Calibri"/>
                <w:b/>
              </w:rPr>
            </w:pPr>
            <w:r w:rsidRPr="003F2B4F">
              <w:rPr>
                <w:rFonts w:ascii="Calibri" w:hAnsi="Calibri"/>
                <w:b/>
              </w:rPr>
              <w:t>2017/18 (Revised Budget)</w:t>
            </w:r>
          </w:p>
          <w:p w:rsidR="006E6311" w:rsidRPr="003F2B4F" w:rsidRDefault="006E6311" w:rsidP="003F2B4F">
            <w:pPr>
              <w:pStyle w:val="Default"/>
              <w:jc w:val="right"/>
              <w:rPr>
                <w:rFonts w:ascii="Calibri" w:hAnsi="Calibri"/>
                <w:b/>
              </w:rPr>
            </w:pPr>
            <w:r w:rsidRPr="003F2B4F">
              <w:rPr>
                <w:rFonts w:ascii="Calibri" w:hAnsi="Calibri"/>
                <w:b/>
              </w:rPr>
              <w:t>£</w:t>
            </w:r>
          </w:p>
        </w:tc>
        <w:tc>
          <w:tcPr>
            <w:tcW w:w="1323" w:type="dxa"/>
          </w:tcPr>
          <w:p w:rsidR="006E6311" w:rsidRPr="003F2B4F" w:rsidRDefault="006E6311" w:rsidP="003F2B4F">
            <w:pPr>
              <w:pStyle w:val="Default"/>
              <w:jc w:val="right"/>
              <w:rPr>
                <w:rFonts w:ascii="Calibri" w:hAnsi="Calibri"/>
                <w:b/>
              </w:rPr>
            </w:pPr>
            <w:r w:rsidRPr="003F2B4F">
              <w:rPr>
                <w:rFonts w:ascii="Calibri" w:hAnsi="Calibri"/>
                <w:b/>
              </w:rPr>
              <w:t>2017/18</w:t>
            </w:r>
          </w:p>
          <w:p w:rsidR="006E6311" w:rsidRPr="003F2B4F" w:rsidRDefault="006E6311" w:rsidP="003F2B4F">
            <w:pPr>
              <w:pStyle w:val="Default"/>
              <w:jc w:val="right"/>
              <w:rPr>
                <w:rFonts w:ascii="Calibri" w:hAnsi="Calibri"/>
                <w:b/>
              </w:rPr>
            </w:pPr>
            <w:r w:rsidRPr="003F2B4F">
              <w:rPr>
                <w:rFonts w:ascii="Calibri" w:hAnsi="Calibri"/>
                <w:b/>
              </w:rPr>
              <w:t>(actual)</w:t>
            </w:r>
          </w:p>
          <w:p w:rsidR="006E6311" w:rsidRPr="003F2B4F" w:rsidRDefault="006E6311" w:rsidP="003F2B4F">
            <w:pPr>
              <w:pStyle w:val="Default"/>
              <w:jc w:val="right"/>
              <w:rPr>
                <w:rFonts w:ascii="Calibri" w:hAnsi="Calibri"/>
                <w:b/>
              </w:rPr>
            </w:pPr>
            <w:r w:rsidRPr="003F2B4F">
              <w:rPr>
                <w:rFonts w:ascii="Calibri" w:hAnsi="Calibri"/>
                <w:b/>
              </w:rPr>
              <w:t>£</w:t>
            </w:r>
          </w:p>
        </w:tc>
        <w:tc>
          <w:tcPr>
            <w:tcW w:w="1323" w:type="dxa"/>
          </w:tcPr>
          <w:p w:rsidR="006E6311" w:rsidRPr="003F2B4F" w:rsidRDefault="006E6311" w:rsidP="003F2B4F">
            <w:pPr>
              <w:pStyle w:val="Default"/>
              <w:jc w:val="right"/>
              <w:rPr>
                <w:rFonts w:ascii="Calibri" w:hAnsi="Calibri"/>
                <w:b/>
              </w:rPr>
            </w:pPr>
            <w:r w:rsidRPr="003F2B4F">
              <w:rPr>
                <w:rFonts w:ascii="Calibri" w:hAnsi="Calibri"/>
                <w:b/>
              </w:rPr>
              <w:t>2018/19</w:t>
            </w:r>
          </w:p>
          <w:p w:rsidR="006E6311" w:rsidRPr="003F2B4F" w:rsidRDefault="006E6311" w:rsidP="003F2B4F">
            <w:pPr>
              <w:pStyle w:val="Default"/>
              <w:jc w:val="right"/>
              <w:rPr>
                <w:rFonts w:ascii="Calibri" w:hAnsi="Calibri"/>
                <w:b/>
              </w:rPr>
            </w:pPr>
            <w:r w:rsidRPr="003F2B4F">
              <w:rPr>
                <w:rFonts w:ascii="Calibri" w:hAnsi="Calibri"/>
                <w:b/>
              </w:rPr>
              <w:t>(budget)</w:t>
            </w:r>
          </w:p>
          <w:p w:rsidR="006E6311" w:rsidRPr="003F2B4F" w:rsidRDefault="006E6311" w:rsidP="003F2B4F">
            <w:pPr>
              <w:pStyle w:val="Default"/>
              <w:jc w:val="right"/>
              <w:rPr>
                <w:rFonts w:ascii="Calibri" w:hAnsi="Calibri"/>
                <w:b/>
              </w:rPr>
            </w:pPr>
            <w:r w:rsidRPr="003F2B4F">
              <w:rPr>
                <w:rFonts w:ascii="Calibri" w:hAnsi="Calibri"/>
                <w:b/>
              </w:rPr>
              <w:t>£</w:t>
            </w:r>
          </w:p>
        </w:tc>
        <w:tc>
          <w:tcPr>
            <w:tcW w:w="1323" w:type="dxa"/>
          </w:tcPr>
          <w:p w:rsidR="006E6311" w:rsidRPr="003F2B4F" w:rsidRDefault="006E6311" w:rsidP="003F2B4F">
            <w:pPr>
              <w:pStyle w:val="Default"/>
              <w:jc w:val="right"/>
              <w:rPr>
                <w:rFonts w:ascii="Calibri" w:hAnsi="Calibri"/>
                <w:b/>
              </w:rPr>
            </w:pPr>
            <w:r w:rsidRPr="003F2B4F">
              <w:rPr>
                <w:rFonts w:ascii="Calibri" w:hAnsi="Calibri"/>
                <w:b/>
              </w:rPr>
              <w:t>2018/19 (Revised Budget)</w:t>
            </w:r>
          </w:p>
          <w:p w:rsidR="006E6311" w:rsidRPr="003F2B4F" w:rsidRDefault="006E6311" w:rsidP="003F2B4F">
            <w:pPr>
              <w:pStyle w:val="Default"/>
              <w:jc w:val="right"/>
              <w:rPr>
                <w:rFonts w:ascii="Calibri" w:hAnsi="Calibri"/>
                <w:b/>
              </w:rPr>
            </w:pPr>
            <w:r w:rsidRPr="003F2B4F">
              <w:rPr>
                <w:rFonts w:ascii="Calibri" w:hAnsi="Calibri"/>
                <w:b/>
              </w:rPr>
              <w:t>£</w:t>
            </w:r>
          </w:p>
        </w:tc>
        <w:tc>
          <w:tcPr>
            <w:tcW w:w="1323" w:type="dxa"/>
          </w:tcPr>
          <w:p w:rsidR="006E6311" w:rsidRPr="003F2B4F" w:rsidRDefault="006E6311" w:rsidP="003F2B4F">
            <w:pPr>
              <w:pStyle w:val="Default"/>
              <w:jc w:val="right"/>
              <w:rPr>
                <w:rFonts w:ascii="Calibri" w:hAnsi="Calibri"/>
                <w:b/>
              </w:rPr>
            </w:pPr>
            <w:r w:rsidRPr="003F2B4F">
              <w:rPr>
                <w:rFonts w:ascii="Calibri" w:hAnsi="Calibri"/>
                <w:b/>
              </w:rPr>
              <w:t>2019/20</w:t>
            </w:r>
          </w:p>
          <w:p w:rsidR="006E6311" w:rsidRPr="003F2B4F" w:rsidRDefault="006E6311" w:rsidP="003F2B4F">
            <w:pPr>
              <w:pStyle w:val="Default"/>
              <w:jc w:val="right"/>
              <w:rPr>
                <w:rFonts w:ascii="Calibri" w:hAnsi="Calibri"/>
                <w:b/>
              </w:rPr>
            </w:pPr>
            <w:r w:rsidRPr="003F2B4F">
              <w:rPr>
                <w:rFonts w:ascii="Calibri" w:hAnsi="Calibri"/>
                <w:b/>
              </w:rPr>
              <w:t>(budget)</w:t>
            </w:r>
          </w:p>
          <w:p w:rsidR="006E6311" w:rsidRPr="003F2B4F" w:rsidRDefault="006E6311" w:rsidP="003F2B4F">
            <w:pPr>
              <w:pStyle w:val="Default"/>
              <w:jc w:val="right"/>
              <w:rPr>
                <w:rFonts w:ascii="Calibri" w:hAnsi="Calibri"/>
                <w:b/>
              </w:rPr>
            </w:pPr>
            <w:r w:rsidRPr="003F2B4F">
              <w:rPr>
                <w:rFonts w:ascii="Calibri" w:hAnsi="Calibri"/>
                <w:b/>
              </w:rPr>
              <w:t>£</w:t>
            </w:r>
          </w:p>
        </w:tc>
      </w:tr>
      <w:tr w:rsidR="006E6311" w:rsidRPr="003F2B4F" w:rsidTr="003F2B4F">
        <w:tc>
          <w:tcPr>
            <w:tcW w:w="1843" w:type="dxa"/>
          </w:tcPr>
          <w:p w:rsidR="006E6311" w:rsidRPr="003F2B4F" w:rsidRDefault="006E6311" w:rsidP="003F2B4F">
            <w:pPr>
              <w:pStyle w:val="Default"/>
              <w:jc w:val="both"/>
              <w:rPr>
                <w:rFonts w:ascii="Calibri" w:hAnsi="Calibri"/>
              </w:rPr>
            </w:pPr>
            <w:r w:rsidRPr="003F2B4F">
              <w:rPr>
                <w:rFonts w:ascii="Calibri" w:hAnsi="Calibri"/>
              </w:rPr>
              <w:t>Fees &amp; Charges</w:t>
            </w:r>
          </w:p>
        </w:tc>
        <w:tc>
          <w:tcPr>
            <w:tcW w:w="1323" w:type="dxa"/>
          </w:tcPr>
          <w:p w:rsidR="006E6311" w:rsidRPr="003F2B4F" w:rsidRDefault="0034257A" w:rsidP="003F2B4F">
            <w:pPr>
              <w:pStyle w:val="Default"/>
              <w:jc w:val="right"/>
              <w:rPr>
                <w:rFonts w:ascii="Calibri" w:hAnsi="Calibri"/>
              </w:rPr>
            </w:pPr>
            <w:r w:rsidRPr="003F2B4F">
              <w:rPr>
                <w:rFonts w:ascii="Calibri" w:hAnsi="Calibri"/>
              </w:rPr>
              <w:t>4,358</w:t>
            </w:r>
            <w:r w:rsidR="006E6311" w:rsidRPr="003F2B4F">
              <w:rPr>
                <w:rFonts w:ascii="Calibri" w:hAnsi="Calibri"/>
              </w:rPr>
              <w:t>,</w:t>
            </w:r>
            <w:r w:rsidRPr="003F2B4F">
              <w:rPr>
                <w:rFonts w:ascii="Calibri" w:hAnsi="Calibri"/>
              </w:rPr>
              <w:t>790</w:t>
            </w:r>
          </w:p>
        </w:tc>
        <w:tc>
          <w:tcPr>
            <w:tcW w:w="1323" w:type="dxa"/>
          </w:tcPr>
          <w:p w:rsidR="006E6311" w:rsidRPr="003F2B4F" w:rsidRDefault="0034257A" w:rsidP="003F2B4F">
            <w:pPr>
              <w:pStyle w:val="Default"/>
              <w:jc w:val="right"/>
              <w:rPr>
                <w:rFonts w:ascii="Calibri" w:hAnsi="Calibri"/>
              </w:rPr>
            </w:pPr>
            <w:r w:rsidRPr="003F2B4F">
              <w:rPr>
                <w:rFonts w:ascii="Calibri" w:hAnsi="Calibri"/>
              </w:rPr>
              <w:t>4</w:t>
            </w:r>
            <w:r w:rsidR="006E6311" w:rsidRPr="003F2B4F">
              <w:rPr>
                <w:rFonts w:ascii="Calibri" w:hAnsi="Calibri"/>
              </w:rPr>
              <w:t>,</w:t>
            </w:r>
            <w:r w:rsidRPr="003F2B4F">
              <w:rPr>
                <w:rFonts w:ascii="Calibri" w:hAnsi="Calibri"/>
              </w:rPr>
              <w:t>662</w:t>
            </w:r>
            <w:r w:rsidR="006E6311" w:rsidRPr="003F2B4F">
              <w:rPr>
                <w:rFonts w:ascii="Calibri" w:hAnsi="Calibri"/>
              </w:rPr>
              <w:t>,</w:t>
            </w:r>
            <w:r w:rsidRPr="003F2B4F">
              <w:rPr>
                <w:rFonts w:ascii="Calibri" w:hAnsi="Calibri"/>
              </w:rPr>
              <w:t>05</w:t>
            </w:r>
            <w:r w:rsidR="006E6311" w:rsidRPr="003F2B4F">
              <w:rPr>
                <w:rFonts w:ascii="Calibri" w:hAnsi="Calibri"/>
              </w:rPr>
              <w:t>5</w:t>
            </w:r>
          </w:p>
        </w:tc>
        <w:tc>
          <w:tcPr>
            <w:tcW w:w="1323" w:type="dxa"/>
          </w:tcPr>
          <w:p w:rsidR="006E6311" w:rsidRPr="003F2B4F" w:rsidRDefault="0034257A" w:rsidP="003F2B4F">
            <w:pPr>
              <w:pStyle w:val="Default"/>
              <w:jc w:val="right"/>
              <w:rPr>
                <w:rFonts w:ascii="Calibri" w:hAnsi="Calibri"/>
              </w:rPr>
            </w:pPr>
            <w:r w:rsidRPr="003F2B4F">
              <w:rPr>
                <w:rFonts w:ascii="Calibri" w:hAnsi="Calibri"/>
              </w:rPr>
              <w:t>4</w:t>
            </w:r>
            <w:r w:rsidR="006E6311" w:rsidRPr="003F2B4F">
              <w:rPr>
                <w:rFonts w:ascii="Calibri" w:hAnsi="Calibri"/>
              </w:rPr>
              <w:t>,</w:t>
            </w:r>
            <w:r w:rsidRPr="003F2B4F">
              <w:rPr>
                <w:rFonts w:ascii="Calibri" w:hAnsi="Calibri"/>
              </w:rPr>
              <w:t>890</w:t>
            </w:r>
            <w:r w:rsidR="006E6311" w:rsidRPr="003F2B4F">
              <w:rPr>
                <w:rFonts w:ascii="Calibri" w:hAnsi="Calibri"/>
              </w:rPr>
              <w:t>,</w:t>
            </w:r>
            <w:r w:rsidRPr="003F2B4F">
              <w:rPr>
                <w:rFonts w:ascii="Calibri" w:hAnsi="Calibri"/>
              </w:rPr>
              <w:t>938</w:t>
            </w:r>
          </w:p>
        </w:tc>
        <w:tc>
          <w:tcPr>
            <w:tcW w:w="1323" w:type="dxa"/>
          </w:tcPr>
          <w:p w:rsidR="006E6311" w:rsidRPr="003F2B4F" w:rsidRDefault="006E6311" w:rsidP="003F2B4F">
            <w:pPr>
              <w:pStyle w:val="Default"/>
              <w:jc w:val="right"/>
              <w:rPr>
                <w:rFonts w:ascii="Calibri" w:hAnsi="Calibri"/>
              </w:rPr>
            </w:pPr>
            <w:r w:rsidRPr="003F2B4F">
              <w:rPr>
                <w:rFonts w:ascii="Calibri" w:hAnsi="Calibri"/>
              </w:rPr>
              <w:t>4,</w:t>
            </w:r>
            <w:r w:rsidR="0034257A" w:rsidRPr="003F2B4F">
              <w:rPr>
                <w:rFonts w:ascii="Calibri" w:hAnsi="Calibri"/>
              </w:rPr>
              <w:t>445</w:t>
            </w:r>
            <w:r w:rsidRPr="003F2B4F">
              <w:rPr>
                <w:rFonts w:ascii="Calibri" w:hAnsi="Calibri"/>
              </w:rPr>
              <w:t>,</w:t>
            </w:r>
            <w:r w:rsidR="0034257A" w:rsidRPr="003F2B4F">
              <w:rPr>
                <w:rFonts w:ascii="Calibri" w:hAnsi="Calibri"/>
              </w:rPr>
              <w:t>750</w:t>
            </w:r>
          </w:p>
        </w:tc>
        <w:tc>
          <w:tcPr>
            <w:tcW w:w="1323" w:type="dxa"/>
          </w:tcPr>
          <w:p w:rsidR="006E6311" w:rsidRPr="003F2B4F" w:rsidRDefault="0034257A" w:rsidP="003F2B4F">
            <w:pPr>
              <w:pStyle w:val="Default"/>
              <w:jc w:val="right"/>
              <w:rPr>
                <w:rFonts w:ascii="Calibri" w:hAnsi="Calibri"/>
              </w:rPr>
            </w:pPr>
            <w:r w:rsidRPr="003F2B4F">
              <w:rPr>
                <w:rFonts w:ascii="Calibri" w:hAnsi="Calibri"/>
              </w:rPr>
              <w:t>4</w:t>
            </w:r>
            <w:r w:rsidR="0067139D" w:rsidRPr="003F2B4F">
              <w:rPr>
                <w:rFonts w:ascii="Calibri" w:hAnsi="Calibri"/>
              </w:rPr>
              <w:t>,</w:t>
            </w:r>
            <w:r w:rsidRPr="003F2B4F">
              <w:rPr>
                <w:rFonts w:ascii="Calibri" w:hAnsi="Calibri"/>
              </w:rPr>
              <w:t>716</w:t>
            </w:r>
            <w:r w:rsidR="0067139D" w:rsidRPr="003F2B4F">
              <w:rPr>
                <w:rFonts w:ascii="Calibri" w:hAnsi="Calibri"/>
              </w:rPr>
              <w:t>,</w:t>
            </w:r>
            <w:r w:rsidRPr="003F2B4F">
              <w:rPr>
                <w:rFonts w:ascii="Calibri" w:hAnsi="Calibri"/>
              </w:rPr>
              <w:t>29</w:t>
            </w:r>
            <w:r w:rsidR="0067139D" w:rsidRPr="003F2B4F">
              <w:rPr>
                <w:rFonts w:ascii="Calibri" w:hAnsi="Calibri"/>
              </w:rPr>
              <w:t>9</w:t>
            </w:r>
          </w:p>
        </w:tc>
        <w:tc>
          <w:tcPr>
            <w:tcW w:w="1323" w:type="dxa"/>
          </w:tcPr>
          <w:p w:rsidR="006E6311" w:rsidRPr="003F2B4F" w:rsidRDefault="0034257A" w:rsidP="003F2B4F">
            <w:pPr>
              <w:pStyle w:val="Default"/>
              <w:jc w:val="right"/>
              <w:rPr>
                <w:rFonts w:ascii="Calibri" w:hAnsi="Calibri"/>
              </w:rPr>
            </w:pPr>
            <w:r w:rsidRPr="003F2B4F">
              <w:rPr>
                <w:rFonts w:ascii="Calibri" w:hAnsi="Calibri"/>
              </w:rPr>
              <w:t>4</w:t>
            </w:r>
            <w:r w:rsidR="006E6311" w:rsidRPr="003F2B4F">
              <w:rPr>
                <w:rFonts w:ascii="Calibri" w:hAnsi="Calibri"/>
              </w:rPr>
              <w:t>,</w:t>
            </w:r>
            <w:r w:rsidRPr="003F2B4F">
              <w:rPr>
                <w:rFonts w:ascii="Calibri" w:hAnsi="Calibri"/>
              </w:rPr>
              <w:t>676</w:t>
            </w:r>
            <w:r w:rsidR="006E6311" w:rsidRPr="003F2B4F">
              <w:rPr>
                <w:rFonts w:ascii="Calibri" w:hAnsi="Calibri"/>
              </w:rPr>
              <w:t>,</w:t>
            </w:r>
            <w:r w:rsidRPr="003F2B4F">
              <w:rPr>
                <w:rFonts w:ascii="Calibri" w:hAnsi="Calibri"/>
              </w:rPr>
              <w:t>660</w:t>
            </w:r>
          </w:p>
        </w:tc>
      </w:tr>
    </w:tbl>
    <w:p w:rsidR="00A43DB4" w:rsidRPr="003F2B4F" w:rsidRDefault="00A43DB4" w:rsidP="003F2B4F">
      <w:pPr>
        <w:autoSpaceDE w:val="0"/>
        <w:autoSpaceDN w:val="0"/>
        <w:adjustRightInd w:val="0"/>
        <w:spacing w:after="0" w:line="240" w:lineRule="auto"/>
        <w:jc w:val="both"/>
        <w:rPr>
          <w:rFonts w:ascii="Calibri" w:hAnsi="Calibri" w:cs="Calibri"/>
          <w:sz w:val="24"/>
          <w:szCs w:val="24"/>
        </w:rPr>
      </w:pPr>
    </w:p>
    <w:p w:rsidR="00A43DB4" w:rsidRPr="003F2B4F" w:rsidRDefault="00A43DB4" w:rsidP="003F2B4F">
      <w:pPr>
        <w:autoSpaceDE w:val="0"/>
        <w:autoSpaceDN w:val="0"/>
        <w:adjustRightInd w:val="0"/>
        <w:spacing w:after="0" w:line="240" w:lineRule="auto"/>
        <w:jc w:val="both"/>
        <w:rPr>
          <w:rFonts w:ascii="Calibri" w:hAnsi="Calibri" w:cs="Calibri"/>
          <w:sz w:val="24"/>
          <w:szCs w:val="24"/>
        </w:rPr>
      </w:pPr>
      <w:r w:rsidRPr="003F2B4F">
        <w:rPr>
          <w:rFonts w:ascii="Calibri" w:hAnsi="Calibri" w:cs="Calibri"/>
          <w:sz w:val="24"/>
          <w:szCs w:val="24"/>
        </w:rPr>
        <w:t>The Commercial Plan set out the strategy the Council will take regarding discretionary fees and charges. These are currently being reviewed by Business Managers, with the Corporate Projects Team looking at further income streams that the Council could consider.</w:t>
      </w:r>
    </w:p>
    <w:p w:rsidR="008A2766" w:rsidRPr="003F2B4F" w:rsidRDefault="008A2766" w:rsidP="003F2B4F">
      <w:pPr>
        <w:autoSpaceDE w:val="0"/>
        <w:autoSpaceDN w:val="0"/>
        <w:adjustRightInd w:val="0"/>
        <w:spacing w:after="0" w:line="240" w:lineRule="auto"/>
        <w:jc w:val="both"/>
        <w:rPr>
          <w:rFonts w:ascii="Calibri" w:hAnsi="Calibri" w:cs="Calibri"/>
          <w:sz w:val="24"/>
          <w:szCs w:val="24"/>
        </w:rPr>
      </w:pPr>
    </w:p>
    <w:p w:rsidR="008A2766" w:rsidRPr="003F2B4F" w:rsidRDefault="008A2766" w:rsidP="003F2B4F">
      <w:pPr>
        <w:autoSpaceDE w:val="0"/>
        <w:autoSpaceDN w:val="0"/>
        <w:adjustRightInd w:val="0"/>
        <w:spacing w:after="0" w:line="240" w:lineRule="auto"/>
        <w:jc w:val="both"/>
        <w:rPr>
          <w:rFonts w:ascii="Calibri" w:hAnsi="Calibri" w:cs="Calibri"/>
          <w:sz w:val="24"/>
          <w:szCs w:val="24"/>
        </w:rPr>
      </w:pPr>
      <w:r w:rsidRPr="003F2B4F">
        <w:rPr>
          <w:rFonts w:ascii="Calibri" w:hAnsi="Calibri" w:cs="Calibri"/>
          <w:sz w:val="24"/>
          <w:szCs w:val="24"/>
        </w:rPr>
        <w:t>The reduction in initial budget for 2018/19 compared with the 2017/18 actual relates to:</w:t>
      </w:r>
    </w:p>
    <w:p w:rsidR="008A2766" w:rsidRPr="00742A98" w:rsidRDefault="008A2766" w:rsidP="003F2B4F">
      <w:pPr>
        <w:autoSpaceDE w:val="0"/>
        <w:autoSpaceDN w:val="0"/>
        <w:adjustRightInd w:val="0"/>
        <w:spacing w:after="0" w:line="240" w:lineRule="auto"/>
        <w:jc w:val="both"/>
        <w:rPr>
          <w:rFonts w:ascii="Calibri" w:hAnsi="Calibri" w:cs="Calibri"/>
          <w:sz w:val="16"/>
          <w:szCs w:val="16"/>
        </w:rPr>
      </w:pPr>
    </w:p>
    <w:p w:rsidR="008A2766" w:rsidRPr="003F2B4F" w:rsidRDefault="008A2766" w:rsidP="003F2B4F">
      <w:pPr>
        <w:pStyle w:val="ListParagraph"/>
        <w:numPr>
          <w:ilvl w:val="0"/>
          <w:numId w:val="9"/>
        </w:numPr>
        <w:autoSpaceDE w:val="0"/>
        <w:autoSpaceDN w:val="0"/>
        <w:adjustRightInd w:val="0"/>
        <w:spacing w:after="0" w:line="240" w:lineRule="auto"/>
        <w:jc w:val="both"/>
        <w:rPr>
          <w:rFonts w:ascii="Calibri" w:hAnsi="Calibri" w:cs="Calibri"/>
          <w:sz w:val="24"/>
          <w:szCs w:val="24"/>
        </w:rPr>
      </w:pPr>
      <w:r w:rsidRPr="003F2B4F">
        <w:rPr>
          <w:rFonts w:ascii="Calibri" w:hAnsi="Calibri" w:cs="Calibri"/>
          <w:sz w:val="24"/>
          <w:szCs w:val="24"/>
        </w:rPr>
        <w:t xml:space="preserve">Heritage, Culture and Visitors: reduction of £157k relating to additional shows compared to the budget for the </w:t>
      </w:r>
      <w:proofErr w:type="gramStart"/>
      <w:r w:rsidRPr="003F2B4F">
        <w:rPr>
          <w:rFonts w:ascii="Calibri" w:hAnsi="Calibri" w:cs="Calibri"/>
          <w:sz w:val="24"/>
          <w:szCs w:val="24"/>
        </w:rPr>
        <w:t>new year</w:t>
      </w:r>
      <w:proofErr w:type="gramEnd"/>
      <w:r w:rsidRPr="003F2B4F">
        <w:rPr>
          <w:rFonts w:ascii="Calibri" w:hAnsi="Calibri" w:cs="Calibri"/>
          <w:sz w:val="24"/>
          <w:szCs w:val="24"/>
        </w:rPr>
        <w:t xml:space="preserve">. Much of this additional income would have been paid to promoters and </w:t>
      </w:r>
      <w:proofErr w:type="gramStart"/>
      <w:r w:rsidRPr="003F2B4F">
        <w:rPr>
          <w:rFonts w:ascii="Calibri" w:hAnsi="Calibri" w:cs="Calibri"/>
          <w:sz w:val="24"/>
          <w:szCs w:val="24"/>
        </w:rPr>
        <w:t>artists,</w:t>
      </w:r>
      <w:proofErr w:type="gramEnd"/>
      <w:r w:rsidRPr="003F2B4F">
        <w:rPr>
          <w:rFonts w:ascii="Calibri" w:hAnsi="Calibri" w:cs="Calibri"/>
          <w:sz w:val="24"/>
          <w:szCs w:val="24"/>
        </w:rPr>
        <w:t xml:space="preserve"> hence there is also a reduction in costs in Agency repayments and Artists fees of £110k when comparing the 2017/18 outturn against 2018/19 initial budget.</w:t>
      </w:r>
    </w:p>
    <w:p w:rsidR="008A2766" w:rsidRPr="003F2B4F" w:rsidRDefault="008A2766" w:rsidP="003F2B4F">
      <w:pPr>
        <w:pStyle w:val="ListParagraph"/>
        <w:numPr>
          <w:ilvl w:val="0"/>
          <w:numId w:val="9"/>
        </w:numPr>
        <w:autoSpaceDE w:val="0"/>
        <w:autoSpaceDN w:val="0"/>
        <w:adjustRightInd w:val="0"/>
        <w:spacing w:after="0" w:line="240" w:lineRule="auto"/>
        <w:jc w:val="both"/>
        <w:rPr>
          <w:rFonts w:ascii="Calibri" w:hAnsi="Calibri" w:cs="Calibri"/>
          <w:sz w:val="24"/>
          <w:szCs w:val="24"/>
        </w:rPr>
      </w:pPr>
      <w:r w:rsidRPr="003F2B4F">
        <w:rPr>
          <w:rFonts w:ascii="Calibri" w:hAnsi="Calibri" w:cs="Calibri"/>
          <w:sz w:val="24"/>
          <w:szCs w:val="24"/>
        </w:rPr>
        <w:t xml:space="preserve">Development Management: Due to the high volatility in planning applications, the income from this service is extremely difficult to predict. Large planning applications </w:t>
      </w:r>
      <w:r w:rsidR="00654D2B" w:rsidRPr="003F2B4F">
        <w:rPr>
          <w:rFonts w:ascii="Calibri" w:hAnsi="Calibri" w:cs="Calibri"/>
          <w:sz w:val="24"/>
          <w:szCs w:val="24"/>
        </w:rPr>
        <w:t>such as Land North and East of existing Fernwood Development and Land at Fernwood Meadows South were received during the 2017/18 financial year, which skewed the total income. These large applications do not happen each year and hence a more prudent approach to budgeting for income has been adopted which smooths out the spikes.</w:t>
      </w:r>
      <w:r w:rsidR="002748C5" w:rsidRPr="003F2B4F">
        <w:rPr>
          <w:rFonts w:ascii="Calibri" w:hAnsi="Calibri" w:cs="Calibri"/>
          <w:sz w:val="24"/>
          <w:szCs w:val="24"/>
        </w:rPr>
        <w:t xml:space="preserve"> </w:t>
      </w:r>
    </w:p>
    <w:p w:rsidR="008A2766" w:rsidRPr="003F2B4F" w:rsidRDefault="008A2766" w:rsidP="003F2B4F">
      <w:pPr>
        <w:pStyle w:val="ListParagraph"/>
        <w:numPr>
          <w:ilvl w:val="0"/>
          <w:numId w:val="9"/>
        </w:numPr>
        <w:autoSpaceDE w:val="0"/>
        <w:autoSpaceDN w:val="0"/>
        <w:adjustRightInd w:val="0"/>
        <w:spacing w:after="0" w:line="240" w:lineRule="auto"/>
        <w:jc w:val="both"/>
        <w:rPr>
          <w:rFonts w:ascii="Calibri" w:hAnsi="Calibri" w:cs="Calibri"/>
          <w:sz w:val="24"/>
          <w:szCs w:val="24"/>
        </w:rPr>
      </w:pPr>
      <w:r w:rsidRPr="003F2B4F">
        <w:rPr>
          <w:rFonts w:ascii="Calibri" w:hAnsi="Calibri" w:cs="Calibri"/>
          <w:sz w:val="24"/>
          <w:szCs w:val="24"/>
        </w:rPr>
        <w:t xml:space="preserve">Domestic Refuse collection: Income from replacement bins had never been budgeted for, which included the 2018/19 initial budget, albeit £25k of income was received. The waste disposal element of trade refuse charge was also £15k over the expected amount for the 2018/19 financial year, albeit a proportion of this income is </w:t>
      </w:r>
      <w:proofErr w:type="spellStart"/>
      <w:r w:rsidRPr="003F2B4F">
        <w:rPr>
          <w:rFonts w:ascii="Calibri" w:hAnsi="Calibri" w:cs="Calibri"/>
          <w:sz w:val="24"/>
          <w:szCs w:val="24"/>
        </w:rPr>
        <w:t>passported</w:t>
      </w:r>
      <w:proofErr w:type="spellEnd"/>
      <w:r w:rsidRPr="003F2B4F">
        <w:rPr>
          <w:rFonts w:ascii="Calibri" w:hAnsi="Calibri" w:cs="Calibri"/>
          <w:sz w:val="24"/>
          <w:szCs w:val="24"/>
        </w:rPr>
        <w:t xml:space="preserve"> through the </w:t>
      </w:r>
      <w:proofErr w:type="spellStart"/>
      <w:r w:rsidRPr="003F2B4F">
        <w:rPr>
          <w:rFonts w:ascii="Calibri" w:hAnsi="Calibri" w:cs="Calibri"/>
          <w:sz w:val="24"/>
          <w:szCs w:val="24"/>
        </w:rPr>
        <w:t>Notts</w:t>
      </w:r>
      <w:proofErr w:type="spellEnd"/>
      <w:r w:rsidRPr="003F2B4F">
        <w:rPr>
          <w:rFonts w:ascii="Calibri" w:hAnsi="Calibri" w:cs="Calibri"/>
          <w:sz w:val="24"/>
          <w:szCs w:val="24"/>
        </w:rPr>
        <w:t xml:space="preserve"> County Council upon disposal.</w:t>
      </w:r>
    </w:p>
    <w:p w:rsidR="008A2766" w:rsidRPr="003F2B4F" w:rsidRDefault="008A2766" w:rsidP="003F2B4F">
      <w:pPr>
        <w:pStyle w:val="ListParagraph"/>
        <w:numPr>
          <w:ilvl w:val="0"/>
          <w:numId w:val="9"/>
        </w:numPr>
        <w:autoSpaceDE w:val="0"/>
        <w:autoSpaceDN w:val="0"/>
        <w:adjustRightInd w:val="0"/>
        <w:spacing w:after="0" w:line="240" w:lineRule="auto"/>
        <w:jc w:val="both"/>
        <w:rPr>
          <w:rFonts w:ascii="Calibri" w:hAnsi="Calibri" w:cs="Calibri"/>
          <w:sz w:val="24"/>
          <w:szCs w:val="24"/>
        </w:rPr>
      </w:pPr>
      <w:r w:rsidRPr="003F2B4F">
        <w:rPr>
          <w:rFonts w:ascii="Calibri" w:hAnsi="Calibri" w:cs="Calibri"/>
          <w:sz w:val="24"/>
          <w:szCs w:val="24"/>
        </w:rPr>
        <w:t>Car Parking: Budgeted car parking income in Newark was also lower than actual receipts by £30k.</w:t>
      </w:r>
    </w:p>
    <w:p w:rsidR="008A2766" w:rsidRPr="00742A98" w:rsidRDefault="008A2766" w:rsidP="003F2B4F">
      <w:pPr>
        <w:autoSpaceDE w:val="0"/>
        <w:autoSpaceDN w:val="0"/>
        <w:adjustRightInd w:val="0"/>
        <w:spacing w:after="0" w:line="240" w:lineRule="auto"/>
        <w:jc w:val="both"/>
        <w:rPr>
          <w:rFonts w:ascii="Calibri" w:hAnsi="Calibri" w:cs="Calibri"/>
          <w:sz w:val="16"/>
          <w:szCs w:val="16"/>
        </w:rPr>
      </w:pPr>
    </w:p>
    <w:p w:rsidR="008A2766" w:rsidRPr="003F2B4F" w:rsidRDefault="008A2766" w:rsidP="003F2B4F">
      <w:pPr>
        <w:autoSpaceDE w:val="0"/>
        <w:autoSpaceDN w:val="0"/>
        <w:adjustRightInd w:val="0"/>
        <w:spacing w:after="0" w:line="240" w:lineRule="auto"/>
        <w:jc w:val="both"/>
        <w:rPr>
          <w:rFonts w:ascii="Calibri" w:hAnsi="Calibri" w:cs="Calibri"/>
          <w:sz w:val="24"/>
          <w:szCs w:val="24"/>
        </w:rPr>
      </w:pPr>
      <w:r w:rsidRPr="003F2B4F">
        <w:rPr>
          <w:rFonts w:ascii="Calibri" w:hAnsi="Calibri" w:cs="Calibri"/>
          <w:sz w:val="24"/>
          <w:szCs w:val="24"/>
        </w:rPr>
        <w:t>The reduction in initial budget for 2019/20 compared with the revised budget for 2018/19 relates to:</w:t>
      </w:r>
    </w:p>
    <w:p w:rsidR="008A2766" w:rsidRPr="003F2B4F" w:rsidRDefault="008A2766" w:rsidP="003F2B4F">
      <w:pPr>
        <w:autoSpaceDE w:val="0"/>
        <w:autoSpaceDN w:val="0"/>
        <w:adjustRightInd w:val="0"/>
        <w:spacing w:after="0" w:line="240" w:lineRule="auto"/>
        <w:jc w:val="both"/>
        <w:rPr>
          <w:rFonts w:ascii="Calibri" w:hAnsi="Calibri" w:cs="Calibri"/>
          <w:sz w:val="24"/>
          <w:szCs w:val="24"/>
        </w:rPr>
      </w:pPr>
    </w:p>
    <w:p w:rsidR="008A2766" w:rsidRPr="003F2B4F" w:rsidRDefault="008A2766" w:rsidP="003F2B4F">
      <w:pPr>
        <w:pStyle w:val="ListParagraph"/>
        <w:numPr>
          <w:ilvl w:val="0"/>
          <w:numId w:val="11"/>
        </w:numPr>
        <w:autoSpaceDE w:val="0"/>
        <w:autoSpaceDN w:val="0"/>
        <w:adjustRightInd w:val="0"/>
        <w:spacing w:after="0" w:line="240" w:lineRule="auto"/>
        <w:jc w:val="both"/>
        <w:rPr>
          <w:rFonts w:ascii="Calibri" w:hAnsi="Calibri" w:cs="Calibri"/>
          <w:sz w:val="24"/>
          <w:szCs w:val="24"/>
        </w:rPr>
      </w:pPr>
      <w:r w:rsidRPr="003F2B4F">
        <w:rPr>
          <w:rFonts w:ascii="Calibri" w:hAnsi="Calibri" w:cs="Calibri"/>
          <w:sz w:val="24"/>
          <w:szCs w:val="24"/>
        </w:rPr>
        <w:lastRenderedPageBreak/>
        <w:t>Council Tax: Summons income is expected to fall by £60k as officers make every effort to make payment arrangements with customers to avoid court action where necessary and reducing increasing their debt.</w:t>
      </w:r>
    </w:p>
    <w:p w:rsidR="008A2766" w:rsidRPr="003F2B4F" w:rsidRDefault="008A2766" w:rsidP="003F2B4F">
      <w:pPr>
        <w:pStyle w:val="ListParagraph"/>
        <w:numPr>
          <w:ilvl w:val="0"/>
          <w:numId w:val="11"/>
        </w:numPr>
        <w:autoSpaceDE w:val="0"/>
        <w:autoSpaceDN w:val="0"/>
        <w:adjustRightInd w:val="0"/>
        <w:spacing w:after="0" w:line="240" w:lineRule="auto"/>
        <w:jc w:val="both"/>
        <w:rPr>
          <w:rFonts w:ascii="Calibri" w:hAnsi="Calibri" w:cs="Calibri"/>
          <w:sz w:val="24"/>
          <w:szCs w:val="24"/>
        </w:rPr>
      </w:pPr>
      <w:r w:rsidRPr="003F2B4F">
        <w:rPr>
          <w:rFonts w:ascii="Calibri" w:hAnsi="Calibri" w:cs="Calibri"/>
          <w:sz w:val="24"/>
          <w:szCs w:val="24"/>
        </w:rPr>
        <w:t xml:space="preserve">Development Management: The budget for 2019/20 has been based on the 2018/19 initial budget and has been increased by £10k from this position. The reduction of £55k mainly relates to </w:t>
      </w:r>
      <w:r w:rsidR="00654D2B" w:rsidRPr="003F2B4F">
        <w:rPr>
          <w:rFonts w:ascii="Calibri" w:hAnsi="Calibri" w:cs="Calibri"/>
          <w:sz w:val="24"/>
          <w:szCs w:val="24"/>
        </w:rPr>
        <w:t xml:space="preserve">the smoothing of income in relation to large planning applications. </w:t>
      </w:r>
    </w:p>
    <w:p w:rsidR="008A2766" w:rsidRPr="003F2B4F" w:rsidRDefault="008A2766" w:rsidP="003F2B4F">
      <w:pPr>
        <w:pStyle w:val="ListParagraph"/>
        <w:numPr>
          <w:ilvl w:val="0"/>
          <w:numId w:val="11"/>
        </w:numPr>
        <w:autoSpaceDE w:val="0"/>
        <w:autoSpaceDN w:val="0"/>
        <w:adjustRightInd w:val="0"/>
        <w:spacing w:after="0" w:line="240" w:lineRule="auto"/>
        <w:jc w:val="both"/>
        <w:rPr>
          <w:rFonts w:ascii="Calibri" w:hAnsi="Calibri" w:cs="Calibri"/>
          <w:sz w:val="24"/>
          <w:szCs w:val="24"/>
        </w:rPr>
      </w:pPr>
      <w:r w:rsidRPr="003F2B4F">
        <w:rPr>
          <w:rFonts w:ascii="Calibri" w:hAnsi="Calibri" w:cs="Calibri"/>
          <w:sz w:val="24"/>
          <w:szCs w:val="24"/>
        </w:rPr>
        <w:t>CCTV: The budget for 2019/20 has been removed, hence a reduction from the revised 2018/19 budget of £55k. This is as this income related to income from other Council Business Units. This is therefore to be treated as an interdepartmental recharge, rather than expressed as fee and charge income.</w:t>
      </w:r>
    </w:p>
    <w:p w:rsidR="008A2766" w:rsidRPr="003F2B4F" w:rsidRDefault="008A2766" w:rsidP="003F2B4F">
      <w:pPr>
        <w:pStyle w:val="ListParagraph"/>
        <w:numPr>
          <w:ilvl w:val="0"/>
          <w:numId w:val="11"/>
        </w:numPr>
        <w:autoSpaceDE w:val="0"/>
        <w:autoSpaceDN w:val="0"/>
        <w:adjustRightInd w:val="0"/>
        <w:spacing w:after="0" w:line="240" w:lineRule="auto"/>
        <w:jc w:val="both"/>
        <w:rPr>
          <w:rFonts w:ascii="Calibri" w:hAnsi="Calibri" w:cs="Calibri"/>
          <w:sz w:val="24"/>
          <w:szCs w:val="24"/>
        </w:rPr>
      </w:pPr>
      <w:r w:rsidRPr="003F2B4F">
        <w:rPr>
          <w:rFonts w:ascii="Calibri" w:hAnsi="Calibri" w:cs="Calibri"/>
          <w:sz w:val="24"/>
          <w:szCs w:val="24"/>
        </w:rPr>
        <w:t xml:space="preserve">Domestic Refuse collection: £53k additional income has been included which relates to both the additional income due to bringing back the administration of the garden waste service from Rushcliffe and Mansfield, and an estimate of growth in the customer base. An allowance of an additional £41k has been made in relation to the waste disposal element of the trade waste charge based on experience, albeit this is offset by additional budgeted expenditure to </w:t>
      </w:r>
      <w:proofErr w:type="spellStart"/>
      <w:r w:rsidRPr="003F2B4F">
        <w:rPr>
          <w:rFonts w:ascii="Calibri" w:hAnsi="Calibri" w:cs="Calibri"/>
          <w:sz w:val="24"/>
          <w:szCs w:val="24"/>
        </w:rPr>
        <w:t>Notts</w:t>
      </w:r>
      <w:proofErr w:type="spellEnd"/>
      <w:r w:rsidRPr="003F2B4F">
        <w:rPr>
          <w:rFonts w:ascii="Calibri" w:hAnsi="Calibri" w:cs="Calibri"/>
          <w:sz w:val="24"/>
          <w:szCs w:val="24"/>
        </w:rPr>
        <w:t xml:space="preserve"> County Council for the disposal of this.</w:t>
      </w:r>
    </w:p>
    <w:p w:rsidR="00A61987" w:rsidRPr="003F2B4F" w:rsidRDefault="00A61987" w:rsidP="003F2B4F">
      <w:pPr>
        <w:autoSpaceDE w:val="0"/>
        <w:autoSpaceDN w:val="0"/>
        <w:adjustRightInd w:val="0"/>
        <w:spacing w:after="0" w:line="240" w:lineRule="auto"/>
        <w:jc w:val="both"/>
        <w:rPr>
          <w:rFonts w:ascii="Calibri" w:hAnsi="Calibri" w:cs="Calibri"/>
          <w:sz w:val="24"/>
          <w:szCs w:val="24"/>
        </w:rPr>
      </w:pPr>
    </w:p>
    <w:p w:rsidR="00820AD0" w:rsidRPr="003F2B4F" w:rsidRDefault="00F3002A" w:rsidP="003F2B4F">
      <w:pPr>
        <w:spacing w:after="0" w:line="240" w:lineRule="auto"/>
        <w:jc w:val="both"/>
        <w:rPr>
          <w:rFonts w:ascii="Calibri" w:hAnsi="Calibri"/>
          <w:sz w:val="24"/>
          <w:szCs w:val="24"/>
        </w:rPr>
      </w:pPr>
      <w:r w:rsidRPr="003F2B4F">
        <w:rPr>
          <w:rFonts w:ascii="Calibri" w:hAnsi="Calibri"/>
          <w:b/>
          <w:sz w:val="24"/>
          <w:szCs w:val="24"/>
        </w:rPr>
        <w:t>1.8</w:t>
      </w:r>
      <w:r w:rsidR="0078035F" w:rsidRPr="003F2B4F">
        <w:rPr>
          <w:rFonts w:ascii="Calibri" w:hAnsi="Calibri"/>
          <w:b/>
          <w:sz w:val="24"/>
          <w:szCs w:val="24"/>
        </w:rPr>
        <w:tab/>
      </w:r>
      <w:r w:rsidR="00820AD0" w:rsidRPr="003F2B4F">
        <w:rPr>
          <w:rFonts w:ascii="Calibri" w:hAnsi="Calibri"/>
          <w:b/>
          <w:sz w:val="24"/>
          <w:szCs w:val="24"/>
          <w:u w:val="single"/>
        </w:rPr>
        <w:t>Reserves and Balances</w:t>
      </w:r>
    </w:p>
    <w:p w:rsidR="003F2B4F" w:rsidRDefault="003F2B4F" w:rsidP="003F2B4F">
      <w:pPr>
        <w:spacing w:after="0" w:line="240" w:lineRule="auto"/>
        <w:jc w:val="both"/>
        <w:rPr>
          <w:rFonts w:ascii="Calibri" w:hAnsi="Calibri"/>
          <w:sz w:val="24"/>
          <w:szCs w:val="24"/>
        </w:rPr>
      </w:pPr>
    </w:p>
    <w:p w:rsidR="00AB7E02" w:rsidRDefault="00AB7E02" w:rsidP="003F2B4F">
      <w:pPr>
        <w:spacing w:after="0" w:line="240" w:lineRule="auto"/>
        <w:jc w:val="both"/>
        <w:rPr>
          <w:rFonts w:ascii="Calibri" w:hAnsi="Calibri"/>
          <w:sz w:val="24"/>
          <w:szCs w:val="24"/>
        </w:rPr>
      </w:pPr>
      <w:r w:rsidRPr="003F2B4F">
        <w:rPr>
          <w:rFonts w:ascii="Calibri" w:hAnsi="Calibri"/>
          <w:sz w:val="24"/>
          <w:szCs w:val="24"/>
        </w:rPr>
        <w:t>The Local Government Act 2003 requires all Councils to maintain adequate balances, reserves and provisions to help ensure that their activities are sustainable. The Council holds General Fund balances to ensure that it has sufficient funds to manage its day to day finances, to smooth out the peaks and troughs of expenditure through and to enable the Council’s financial position to remain secure in the event of unforeseen circumstances.</w:t>
      </w:r>
    </w:p>
    <w:p w:rsidR="003F2B4F" w:rsidRPr="003F2B4F" w:rsidRDefault="003F2B4F" w:rsidP="003F2B4F">
      <w:pPr>
        <w:spacing w:after="0" w:line="240" w:lineRule="auto"/>
        <w:jc w:val="both"/>
        <w:rPr>
          <w:rFonts w:ascii="Calibri" w:hAnsi="Calibri"/>
          <w:sz w:val="24"/>
          <w:szCs w:val="24"/>
        </w:rPr>
      </w:pPr>
    </w:p>
    <w:p w:rsidR="00A50396" w:rsidRDefault="002A325F" w:rsidP="003F2B4F">
      <w:pPr>
        <w:spacing w:after="0" w:line="240" w:lineRule="auto"/>
        <w:jc w:val="both"/>
        <w:rPr>
          <w:rFonts w:ascii="Calibri" w:hAnsi="Calibri"/>
          <w:sz w:val="24"/>
          <w:szCs w:val="24"/>
        </w:rPr>
      </w:pPr>
      <w:r w:rsidRPr="003F2B4F">
        <w:rPr>
          <w:rFonts w:ascii="Calibri" w:hAnsi="Calibri"/>
          <w:sz w:val="24"/>
          <w:szCs w:val="24"/>
        </w:rPr>
        <w:t xml:space="preserve">When setting its Budget, the Council must have regard to level of reserves needed to </w:t>
      </w:r>
      <w:proofErr w:type="gramStart"/>
      <w:r w:rsidRPr="003F2B4F">
        <w:rPr>
          <w:rFonts w:ascii="Calibri" w:hAnsi="Calibri"/>
          <w:sz w:val="24"/>
          <w:szCs w:val="24"/>
        </w:rPr>
        <w:t>mitigate</w:t>
      </w:r>
      <w:proofErr w:type="gramEnd"/>
      <w:r w:rsidRPr="003F2B4F">
        <w:rPr>
          <w:rFonts w:ascii="Calibri" w:hAnsi="Calibri"/>
          <w:sz w:val="24"/>
          <w:szCs w:val="24"/>
        </w:rPr>
        <w:t xml:space="preserve"> against both known and unknown risks and issues. A risk assessment of the General Fund Balances informs the Council’s Section 151 Officer’s view of the adequacy of reserves to provide assurance to the Budget.</w:t>
      </w:r>
      <w:r w:rsidR="000978FE" w:rsidRPr="003F2B4F">
        <w:rPr>
          <w:rFonts w:ascii="Calibri" w:hAnsi="Calibri"/>
          <w:sz w:val="24"/>
          <w:szCs w:val="24"/>
        </w:rPr>
        <w:t xml:space="preserve"> </w:t>
      </w:r>
    </w:p>
    <w:p w:rsidR="003F2B4F" w:rsidRPr="003F2B4F" w:rsidRDefault="003F2B4F" w:rsidP="003F2B4F">
      <w:pPr>
        <w:spacing w:after="0" w:line="240" w:lineRule="auto"/>
        <w:jc w:val="both"/>
        <w:rPr>
          <w:rFonts w:ascii="Calibri" w:hAnsi="Calibri"/>
          <w:sz w:val="24"/>
          <w:szCs w:val="24"/>
        </w:rPr>
      </w:pPr>
    </w:p>
    <w:p w:rsidR="000978FE" w:rsidRDefault="000978FE" w:rsidP="003F2B4F">
      <w:pPr>
        <w:spacing w:after="0" w:line="240" w:lineRule="auto"/>
        <w:jc w:val="both"/>
        <w:rPr>
          <w:rFonts w:ascii="Calibri" w:hAnsi="Calibri"/>
          <w:sz w:val="24"/>
          <w:szCs w:val="24"/>
        </w:rPr>
      </w:pPr>
      <w:r w:rsidRPr="003F2B4F">
        <w:rPr>
          <w:rFonts w:ascii="Calibri" w:hAnsi="Calibri"/>
          <w:sz w:val="24"/>
          <w:szCs w:val="24"/>
        </w:rPr>
        <w:t>Each year the Section 151 Officer of a local authority is required undersection 26 of the Local Government Act 2005 to review the amount of reserves and provisions that the authority holds. This review is carried out primarily to ensure that reserves and provisions are not allowed to be “run down” to an imprudent level, taking into account their purpose and likely use. In undertaking this review it is also necessary to ensure that amounts do not become over provided for. With this in mind, a review of reserves held by the Council has been undertaken and the movements in earmarked reserves and General Fund balances contained in the forecasts for each year have been influenced by this review.</w:t>
      </w:r>
    </w:p>
    <w:p w:rsidR="003F2B4F" w:rsidRPr="003F2B4F" w:rsidRDefault="003F2B4F" w:rsidP="003F2B4F">
      <w:pPr>
        <w:spacing w:after="0" w:line="240" w:lineRule="auto"/>
        <w:jc w:val="both"/>
        <w:rPr>
          <w:rFonts w:ascii="Calibri" w:hAnsi="Calibri"/>
          <w:sz w:val="24"/>
          <w:szCs w:val="24"/>
        </w:rPr>
      </w:pPr>
    </w:p>
    <w:p w:rsidR="0038777B" w:rsidRDefault="002443AB" w:rsidP="003F2B4F">
      <w:pPr>
        <w:spacing w:after="0" w:line="240" w:lineRule="auto"/>
        <w:jc w:val="both"/>
        <w:rPr>
          <w:rFonts w:ascii="Calibri" w:hAnsi="Calibri"/>
          <w:sz w:val="24"/>
          <w:szCs w:val="24"/>
        </w:rPr>
      </w:pPr>
      <w:r w:rsidRPr="003F2B4F">
        <w:rPr>
          <w:rFonts w:ascii="Calibri" w:hAnsi="Calibri"/>
          <w:sz w:val="24"/>
          <w:szCs w:val="24"/>
        </w:rPr>
        <w:t xml:space="preserve">Best practice guidance from CIPFA states that the General Fund balance may be between 5% and 100% of net expenditure. </w:t>
      </w:r>
      <w:r w:rsidR="002A325F" w:rsidRPr="003F2B4F">
        <w:rPr>
          <w:rFonts w:ascii="Calibri" w:hAnsi="Calibri"/>
          <w:sz w:val="24"/>
          <w:szCs w:val="24"/>
        </w:rPr>
        <w:t xml:space="preserve">The minimum prudent level of reserves was set at 15% of the Net Budget Requirement </w:t>
      </w:r>
      <w:r w:rsidR="00130B5E" w:rsidRPr="003F2B4F">
        <w:rPr>
          <w:rFonts w:ascii="Calibri" w:hAnsi="Calibri"/>
          <w:sz w:val="24"/>
          <w:szCs w:val="24"/>
        </w:rPr>
        <w:t>at the meeting of Policy and Finance on 21</w:t>
      </w:r>
      <w:r w:rsidR="00130B5E" w:rsidRPr="003F2B4F">
        <w:rPr>
          <w:rFonts w:ascii="Calibri" w:hAnsi="Calibri"/>
          <w:sz w:val="24"/>
          <w:szCs w:val="24"/>
          <w:vertAlign w:val="superscript"/>
        </w:rPr>
        <w:t>st</w:t>
      </w:r>
      <w:r w:rsidR="00130B5E" w:rsidRPr="003F2B4F">
        <w:rPr>
          <w:rFonts w:ascii="Calibri" w:hAnsi="Calibri"/>
          <w:sz w:val="24"/>
          <w:szCs w:val="24"/>
        </w:rPr>
        <w:t xml:space="preserve"> September 2017. </w:t>
      </w:r>
      <w:r w:rsidR="007430EE" w:rsidRPr="003F2B4F">
        <w:rPr>
          <w:rFonts w:ascii="Calibri" w:hAnsi="Calibri"/>
          <w:sz w:val="24"/>
          <w:szCs w:val="24"/>
        </w:rPr>
        <w:t>As a percentage of the Net Budget Requirement can constantly change, it is proposed to amend this policy to reflect a static balance which would be reviewed annually to ensure its prudency. It is therefore proposed to adopt a balance of £1,500,000 as a General Fund balance to mitigate unexpected and therefore unbudgeted expenditure.</w:t>
      </w:r>
    </w:p>
    <w:p w:rsidR="003F2B4F" w:rsidRDefault="003F2B4F" w:rsidP="003F2B4F">
      <w:pPr>
        <w:spacing w:after="0" w:line="240" w:lineRule="auto"/>
        <w:jc w:val="both"/>
        <w:rPr>
          <w:rFonts w:ascii="Calibri" w:hAnsi="Calibri"/>
          <w:sz w:val="24"/>
          <w:szCs w:val="24"/>
        </w:rPr>
      </w:pPr>
    </w:p>
    <w:p w:rsidR="00742A98" w:rsidRDefault="00742A98" w:rsidP="003F2B4F">
      <w:pPr>
        <w:spacing w:after="0" w:line="240" w:lineRule="auto"/>
        <w:jc w:val="both"/>
        <w:rPr>
          <w:rFonts w:ascii="Calibri" w:hAnsi="Calibri"/>
          <w:sz w:val="24"/>
          <w:szCs w:val="24"/>
        </w:rPr>
      </w:pPr>
    </w:p>
    <w:p w:rsidR="00742A98" w:rsidRPr="00742A98" w:rsidRDefault="00742A98" w:rsidP="003F2B4F">
      <w:pPr>
        <w:spacing w:after="0" w:line="240" w:lineRule="auto"/>
        <w:jc w:val="both"/>
        <w:rPr>
          <w:rFonts w:ascii="Calibri" w:hAnsi="Calibri"/>
          <w:sz w:val="24"/>
          <w:szCs w:val="24"/>
        </w:rPr>
      </w:pPr>
    </w:p>
    <w:p w:rsidR="00B058A9" w:rsidRDefault="00B058A9" w:rsidP="003F2B4F">
      <w:pPr>
        <w:spacing w:after="0" w:line="240" w:lineRule="auto"/>
        <w:jc w:val="both"/>
        <w:rPr>
          <w:rFonts w:ascii="Calibri" w:hAnsi="Calibri"/>
          <w:sz w:val="24"/>
          <w:szCs w:val="24"/>
        </w:rPr>
      </w:pPr>
      <w:r w:rsidRPr="003F2B4F">
        <w:rPr>
          <w:rFonts w:ascii="Calibri" w:hAnsi="Calibri"/>
          <w:sz w:val="24"/>
          <w:szCs w:val="24"/>
        </w:rPr>
        <w:lastRenderedPageBreak/>
        <w:t xml:space="preserve">The Council also holds reserves for specific areas of expenditure. Each reserve has a specific purpose and is internally ring fenced for that purpose. They are subject to annual review by the Section 151 Officer as part of the </w:t>
      </w:r>
      <w:r w:rsidR="002443AB" w:rsidRPr="003F2B4F">
        <w:rPr>
          <w:rFonts w:ascii="Calibri" w:hAnsi="Calibri"/>
          <w:sz w:val="24"/>
          <w:szCs w:val="24"/>
        </w:rPr>
        <w:t>budget</w:t>
      </w:r>
      <w:r w:rsidRPr="003F2B4F">
        <w:rPr>
          <w:rFonts w:ascii="Calibri" w:hAnsi="Calibri"/>
          <w:sz w:val="24"/>
          <w:szCs w:val="24"/>
        </w:rPr>
        <w:t xml:space="preserve"> process and if no longer required then are redirected for other purposes. </w:t>
      </w:r>
    </w:p>
    <w:p w:rsidR="003F2B4F" w:rsidRPr="003F2B4F" w:rsidRDefault="003F2B4F" w:rsidP="003F2B4F">
      <w:pPr>
        <w:spacing w:after="0" w:line="240" w:lineRule="auto"/>
        <w:jc w:val="both"/>
        <w:rPr>
          <w:rFonts w:ascii="Calibri" w:hAnsi="Calibri"/>
          <w:sz w:val="16"/>
          <w:szCs w:val="16"/>
        </w:rPr>
      </w:pPr>
    </w:p>
    <w:p w:rsidR="002443AB" w:rsidRDefault="002443AB" w:rsidP="003F2B4F">
      <w:pPr>
        <w:spacing w:after="0" w:line="240" w:lineRule="auto"/>
        <w:jc w:val="both"/>
        <w:rPr>
          <w:rFonts w:ascii="Calibri" w:hAnsi="Calibri"/>
          <w:sz w:val="24"/>
          <w:szCs w:val="24"/>
        </w:rPr>
      </w:pPr>
      <w:r w:rsidRPr="003F2B4F">
        <w:rPr>
          <w:rFonts w:ascii="Calibri" w:hAnsi="Calibri"/>
          <w:sz w:val="24"/>
          <w:szCs w:val="24"/>
        </w:rPr>
        <w:t xml:space="preserve">The balances and reserves that the Council </w:t>
      </w:r>
      <w:r w:rsidR="0034257A" w:rsidRPr="003F2B4F">
        <w:rPr>
          <w:rFonts w:ascii="Calibri" w:hAnsi="Calibri"/>
          <w:sz w:val="24"/>
          <w:szCs w:val="24"/>
        </w:rPr>
        <w:t>held as at 1 April 2018</w:t>
      </w:r>
      <w:r w:rsidRPr="003F2B4F">
        <w:rPr>
          <w:rFonts w:ascii="Calibri" w:hAnsi="Calibri"/>
          <w:sz w:val="24"/>
          <w:szCs w:val="24"/>
        </w:rPr>
        <w:t>:</w:t>
      </w:r>
    </w:p>
    <w:p w:rsidR="003F2B4F" w:rsidRPr="003F2B4F" w:rsidRDefault="003F2B4F" w:rsidP="003F2B4F">
      <w:pPr>
        <w:spacing w:after="0" w:line="240" w:lineRule="auto"/>
        <w:jc w:val="both"/>
        <w:rPr>
          <w:rFonts w:ascii="Calibri" w:hAnsi="Calibri"/>
          <w:sz w:val="24"/>
          <w:szCs w:val="24"/>
        </w:rPr>
      </w:pPr>
    </w:p>
    <w:p w:rsidR="0078035F" w:rsidRPr="003F2B4F" w:rsidRDefault="00F3002A" w:rsidP="003F2B4F">
      <w:pPr>
        <w:spacing w:after="0" w:line="240" w:lineRule="auto"/>
        <w:jc w:val="both"/>
        <w:rPr>
          <w:rFonts w:ascii="Calibri" w:hAnsi="Calibri"/>
          <w:sz w:val="24"/>
          <w:szCs w:val="24"/>
        </w:rPr>
      </w:pPr>
      <w:r w:rsidRPr="003F2B4F">
        <w:rPr>
          <w:rFonts w:ascii="Calibri" w:hAnsi="Calibri"/>
          <w:sz w:val="24"/>
          <w:szCs w:val="24"/>
        </w:rPr>
        <w:t>Table 5</w:t>
      </w:r>
    </w:p>
    <w:tbl>
      <w:tblPr>
        <w:tblStyle w:val="TableGrid"/>
        <w:tblW w:w="9639" w:type="dxa"/>
        <w:tblInd w:w="108" w:type="dxa"/>
        <w:tblLook w:val="04A0" w:firstRow="1" w:lastRow="0" w:firstColumn="1" w:lastColumn="0" w:noHBand="0" w:noVBand="1"/>
      </w:tblPr>
      <w:tblGrid>
        <w:gridCol w:w="3686"/>
        <w:gridCol w:w="1701"/>
        <w:gridCol w:w="4252"/>
      </w:tblGrid>
      <w:tr w:rsidR="002443AB" w:rsidRPr="003F2B4F" w:rsidTr="003F2B4F">
        <w:tc>
          <w:tcPr>
            <w:tcW w:w="3686" w:type="dxa"/>
          </w:tcPr>
          <w:p w:rsidR="002443AB" w:rsidRPr="003F2B4F" w:rsidRDefault="002443AB" w:rsidP="003F2B4F">
            <w:pPr>
              <w:jc w:val="both"/>
              <w:rPr>
                <w:rFonts w:ascii="Calibri" w:hAnsi="Calibri"/>
                <w:sz w:val="24"/>
                <w:szCs w:val="24"/>
              </w:rPr>
            </w:pPr>
            <w:r w:rsidRPr="003F2B4F">
              <w:rPr>
                <w:rFonts w:ascii="Calibri" w:hAnsi="Calibri"/>
                <w:sz w:val="24"/>
                <w:szCs w:val="24"/>
              </w:rPr>
              <w:t>General Fund</w:t>
            </w:r>
          </w:p>
        </w:tc>
        <w:tc>
          <w:tcPr>
            <w:tcW w:w="1701" w:type="dxa"/>
          </w:tcPr>
          <w:p w:rsidR="003F2B4F" w:rsidRDefault="002443AB" w:rsidP="003F2B4F">
            <w:pPr>
              <w:jc w:val="right"/>
              <w:rPr>
                <w:rFonts w:ascii="Calibri" w:hAnsi="Calibri"/>
                <w:sz w:val="24"/>
                <w:szCs w:val="24"/>
              </w:rPr>
            </w:pPr>
            <w:r w:rsidRPr="003F2B4F">
              <w:rPr>
                <w:rFonts w:ascii="Calibri" w:hAnsi="Calibri"/>
                <w:sz w:val="24"/>
                <w:szCs w:val="24"/>
              </w:rPr>
              <w:t xml:space="preserve">Amount as at </w:t>
            </w:r>
          </w:p>
          <w:p w:rsidR="002443AB" w:rsidRPr="003F2B4F" w:rsidRDefault="002443AB" w:rsidP="003F2B4F">
            <w:pPr>
              <w:jc w:val="right"/>
              <w:rPr>
                <w:rFonts w:ascii="Calibri" w:hAnsi="Calibri"/>
                <w:sz w:val="24"/>
                <w:szCs w:val="24"/>
              </w:rPr>
            </w:pPr>
            <w:r w:rsidRPr="003F2B4F">
              <w:rPr>
                <w:rFonts w:ascii="Calibri" w:hAnsi="Calibri"/>
                <w:sz w:val="24"/>
                <w:szCs w:val="24"/>
              </w:rPr>
              <w:t>1</w:t>
            </w:r>
            <w:r w:rsidR="00E11B70" w:rsidRPr="003F2B4F">
              <w:rPr>
                <w:rFonts w:ascii="Calibri" w:hAnsi="Calibri"/>
                <w:sz w:val="24"/>
                <w:szCs w:val="24"/>
              </w:rPr>
              <w:t xml:space="preserve"> April 2018</w:t>
            </w:r>
            <w:r w:rsidRPr="003F2B4F">
              <w:rPr>
                <w:rFonts w:ascii="Calibri" w:hAnsi="Calibri"/>
                <w:sz w:val="24"/>
                <w:szCs w:val="24"/>
              </w:rPr>
              <w:t xml:space="preserve"> </w:t>
            </w:r>
          </w:p>
        </w:tc>
        <w:tc>
          <w:tcPr>
            <w:tcW w:w="4252" w:type="dxa"/>
          </w:tcPr>
          <w:p w:rsidR="002443AB" w:rsidRPr="003F2B4F" w:rsidRDefault="002443AB" w:rsidP="003F2B4F">
            <w:pPr>
              <w:jc w:val="both"/>
              <w:rPr>
                <w:rFonts w:ascii="Calibri" w:hAnsi="Calibri"/>
                <w:sz w:val="24"/>
                <w:szCs w:val="24"/>
              </w:rPr>
            </w:pPr>
            <w:r w:rsidRPr="003F2B4F">
              <w:rPr>
                <w:rFonts w:ascii="Calibri" w:hAnsi="Calibri"/>
                <w:sz w:val="24"/>
                <w:szCs w:val="24"/>
              </w:rPr>
              <w:t>Description</w:t>
            </w:r>
          </w:p>
        </w:tc>
      </w:tr>
      <w:tr w:rsidR="002443AB" w:rsidRPr="003F2B4F" w:rsidTr="003F2B4F">
        <w:tc>
          <w:tcPr>
            <w:tcW w:w="3686" w:type="dxa"/>
          </w:tcPr>
          <w:p w:rsidR="002443AB" w:rsidRPr="003F2B4F" w:rsidRDefault="002443AB" w:rsidP="003F2B4F">
            <w:pPr>
              <w:jc w:val="both"/>
              <w:rPr>
                <w:rFonts w:ascii="Calibri" w:hAnsi="Calibri"/>
                <w:b/>
                <w:sz w:val="24"/>
                <w:szCs w:val="24"/>
              </w:rPr>
            </w:pPr>
            <w:r w:rsidRPr="003F2B4F">
              <w:rPr>
                <w:rFonts w:ascii="Calibri" w:hAnsi="Calibri"/>
                <w:b/>
                <w:sz w:val="24"/>
                <w:szCs w:val="24"/>
              </w:rPr>
              <w:t>Balances:</w:t>
            </w:r>
          </w:p>
        </w:tc>
        <w:tc>
          <w:tcPr>
            <w:tcW w:w="1701" w:type="dxa"/>
          </w:tcPr>
          <w:p w:rsidR="002443AB" w:rsidRPr="003F2B4F" w:rsidRDefault="002443AB" w:rsidP="003F2B4F">
            <w:pPr>
              <w:jc w:val="right"/>
              <w:rPr>
                <w:rFonts w:ascii="Calibri" w:hAnsi="Calibri"/>
                <w:sz w:val="24"/>
                <w:szCs w:val="24"/>
              </w:rPr>
            </w:pPr>
          </w:p>
        </w:tc>
        <w:tc>
          <w:tcPr>
            <w:tcW w:w="4252" w:type="dxa"/>
          </w:tcPr>
          <w:p w:rsidR="002443AB" w:rsidRPr="003F2B4F" w:rsidRDefault="002443AB" w:rsidP="003F2B4F">
            <w:pPr>
              <w:jc w:val="both"/>
              <w:rPr>
                <w:rFonts w:ascii="Calibri" w:hAnsi="Calibri"/>
                <w:sz w:val="24"/>
                <w:szCs w:val="24"/>
              </w:rPr>
            </w:pPr>
          </w:p>
        </w:tc>
      </w:tr>
      <w:tr w:rsidR="002443AB" w:rsidRPr="003F2B4F" w:rsidTr="003F2B4F">
        <w:tc>
          <w:tcPr>
            <w:tcW w:w="3686" w:type="dxa"/>
          </w:tcPr>
          <w:p w:rsidR="002443AB" w:rsidRPr="003F2B4F" w:rsidRDefault="002443AB" w:rsidP="003F2B4F">
            <w:pPr>
              <w:jc w:val="both"/>
              <w:rPr>
                <w:rFonts w:ascii="Calibri" w:hAnsi="Calibri"/>
                <w:sz w:val="24"/>
                <w:szCs w:val="24"/>
              </w:rPr>
            </w:pPr>
            <w:r w:rsidRPr="003F2B4F">
              <w:rPr>
                <w:rFonts w:ascii="Calibri" w:hAnsi="Calibri"/>
                <w:sz w:val="24"/>
                <w:szCs w:val="24"/>
              </w:rPr>
              <w:t>General Fund Balance</w:t>
            </w:r>
          </w:p>
        </w:tc>
        <w:tc>
          <w:tcPr>
            <w:tcW w:w="1701" w:type="dxa"/>
          </w:tcPr>
          <w:p w:rsidR="002443AB" w:rsidRPr="003F2B4F" w:rsidRDefault="00A8114C" w:rsidP="003F2B4F">
            <w:pPr>
              <w:jc w:val="right"/>
              <w:rPr>
                <w:rFonts w:ascii="Calibri" w:hAnsi="Calibri"/>
                <w:sz w:val="24"/>
                <w:szCs w:val="24"/>
              </w:rPr>
            </w:pPr>
            <w:r w:rsidRPr="003F2B4F">
              <w:rPr>
                <w:rFonts w:ascii="Calibri" w:hAnsi="Calibri"/>
                <w:sz w:val="24"/>
                <w:szCs w:val="24"/>
              </w:rPr>
              <w:t>£1,736,863</w:t>
            </w:r>
          </w:p>
        </w:tc>
        <w:tc>
          <w:tcPr>
            <w:tcW w:w="4252" w:type="dxa"/>
          </w:tcPr>
          <w:p w:rsidR="002443AB" w:rsidRPr="003F2B4F" w:rsidRDefault="008A548B" w:rsidP="003F2B4F">
            <w:pPr>
              <w:jc w:val="both"/>
              <w:rPr>
                <w:rFonts w:ascii="Calibri" w:hAnsi="Calibri"/>
                <w:sz w:val="24"/>
                <w:szCs w:val="24"/>
              </w:rPr>
            </w:pPr>
            <w:r w:rsidRPr="003F2B4F">
              <w:rPr>
                <w:rFonts w:ascii="Calibri" w:hAnsi="Calibri"/>
                <w:sz w:val="24"/>
                <w:szCs w:val="24"/>
              </w:rPr>
              <w:t>General Fund Balance</w:t>
            </w:r>
          </w:p>
        </w:tc>
      </w:tr>
      <w:tr w:rsidR="002443AB" w:rsidRPr="003F2B4F" w:rsidTr="003F2B4F">
        <w:tc>
          <w:tcPr>
            <w:tcW w:w="3686" w:type="dxa"/>
          </w:tcPr>
          <w:p w:rsidR="002443AB" w:rsidRPr="003F2B4F" w:rsidRDefault="002443AB" w:rsidP="003F2B4F">
            <w:pPr>
              <w:jc w:val="both"/>
              <w:rPr>
                <w:rFonts w:ascii="Calibri" w:hAnsi="Calibri"/>
                <w:b/>
                <w:sz w:val="24"/>
                <w:szCs w:val="24"/>
              </w:rPr>
            </w:pPr>
            <w:r w:rsidRPr="003F2B4F">
              <w:rPr>
                <w:rFonts w:ascii="Calibri" w:hAnsi="Calibri"/>
                <w:b/>
                <w:sz w:val="24"/>
                <w:szCs w:val="24"/>
              </w:rPr>
              <w:t>Usable Reserves:</w:t>
            </w:r>
          </w:p>
        </w:tc>
        <w:tc>
          <w:tcPr>
            <w:tcW w:w="1701" w:type="dxa"/>
          </w:tcPr>
          <w:p w:rsidR="002443AB" w:rsidRPr="003F2B4F" w:rsidRDefault="002443AB" w:rsidP="003F2B4F">
            <w:pPr>
              <w:jc w:val="right"/>
              <w:rPr>
                <w:rFonts w:ascii="Calibri" w:hAnsi="Calibri"/>
                <w:sz w:val="24"/>
                <w:szCs w:val="24"/>
              </w:rPr>
            </w:pPr>
          </w:p>
        </w:tc>
        <w:tc>
          <w:tcPr>
            <w:tcW w:w="4252" w:type="dxa"/>
          </w:tcPr>
          <w:p w:rsidR="002443AB" w:rsidRPr="003F2B4F" w:rsidRDefault="002443AB" w:rsidP="003F2B4F">
            <w:pPr>
              <w:jc w:val="both"/>
              <w:rPr>
                <w:rFonts w:ascii="Calibri" w:hAnsi="Calibri"/>
                <w:sz w:val="24"/>
                <w:szCs w:val="24"/>
              </w:rPr>
            </w:pPr>
          </w:p>
        </w:tc>
      </w:tr>
      <w:tr w:rsidR="002443AB" w:rsidRPr="003F2B4F" w:rsidTr="003F2B4F">
        <w:tc>
          <w:tcPr>
            <w:tcW w:w="3686" w:type="dxa"/>
          </w:tcPr>
          <w:p w:rsidR="002443AB" w:rsidRPr="003F2B4F" w:rsidRDefault="002443AB" w:rsidP="003F2B4F">
            <w:pPr>
              <w:jc w:val="both"/>
              <w:rPr>
                <w:rFonts w:ascii="Calibri" w:hAnsi="Calibri"/>
                <w:sz w:val="24"/>
                <w:szCs w:val="24"/>
              </w:rPr>
            </w:pPr>
            <w:r w:rsidRPr="003F2B4F">
              <w:rPr>
                <w:rFonts w:ascii="Calibri" w:hAnsi="Calibri"/>
                <w:sz w:val="24"/>
                <w:szCs w:val="24"/>
              </w:rPr>
              <w:t>Investment Realisation Fund</w:t>
            </w:r>
          </w:p>
        </w:tc>
        <w:tc>
          <w:tcPr>
            <w:tcW w:w="1701" w:type="dxa"/>
          </w:tcPr>
          <w:p w:rsidR="002443AB" w:rsidRPr="003F2B4F" w:rsidRDefault="00A8114C" w:rsidP="003F2B4F">
            <w:pPr>
              <w:jc w:val="right"/>
              <w:rPr>
                <w:rFonts w:ascii="Calibri" w:hAnsi="Calibri"/>
                <w:sz w:val="24"/>
                <w:szCs w:val="24"/>
              </w:rPr>
            </w:pPr>
            <w:r w:rsidRPr="003F2B4F">
              <w:rPr>
                <w:rFonts w:ascii="Calibri" w:hAnsi="Calibri"/>
                <w:sz w:val="24"/>
                <w:szCs w:val="24"/>
              </w:rPr>
              <w:t>£91,890</w:t>
            </w:r>
          </w:p>
        </w:tc>
        <w:tc>
          <w:tcPr>
            <w:tcW w:w="4252" w:type="dxa"/>
          </w:tcPr>
          <w:p w:rsidR="002443AB" w:rsidRPr="003F2B4F" w:rsidRDefault="008A548B" w:rsidP="003F2B4F">
            <w:pPr>
              <w:jc w:val="both"/>
              <w:rPr>
                <w:rFonts w:ascii="Calibri" w:hAnsi="Calibri"/>
                <w:sz w:val="24"/>
                <w:szCs w:val="24"/>
              </w:rPr>
            </w:pPr>
            <w:r w:rsidRPr="003F2B4F">
              <w:rPr>
                <w:rFonts w:ascii="Calibri" w:hAnsi="Calibri"/>
                <w:sz w:val="24"/>
                <w:szCs w:val="24"/>
              </w:rPr>
              <w:t>Provide a reserve against possible future losses on external investments</w:t>
            </w:r>
          </w:p>
        </w:tc>
      </w:tr>
      <w:tr w:rsidR="002443AB" w:rsidRPr="003F2B4F" w:rsidTr="003F2B4F">
        <w:tc>
          <w:tcPr>
            <w:tcW w:w="3686" w:type="dxa"/>
          </w:tcPr>
          <w:p w:rsidR="002443AB" w:rsidRPr="003F2B4F" w:rsidRDefault="002443AB" w:rsidP="003F2B4F">
            <w:pPr>
              <w:jc w:val="both"/>
              <w:rPr>
                <w:rFonts w:ascii="Calibri" w:hAnsi="Calibri"/>
                <w:sz w:val="24"/>
                <w:szCs w:val="24"/>
              </w:rPr>
            </w:pPr>
            <w:r w:rsidRPr="003F2B4F">
              <w:rPr>
                <w:rFonts w:ascii="Calibri" w:hAnsi="Calibri"/>
                <w:sz w:val="24"/>
                <w:szCs w:val="24"/>
              </w:rPr>
              <w:t>Election Expenses Fund</w:t>
            </w:r>
          </w:p>
        </w:tc>
        <w:tc>
          <w:tcPr>
            <w:tcW w:w="1701" w:type="dxa"/>
          </w:tcPr>
          <w:p w:rsidR="002443AB" w:rsidRPr="003F2B4F" w:rsidRDefault="00A8114C" w:rsidP="003F2B4F">
            <w:pPr>
              <w:jc w:val="right"/>
              <w:rPr>
                <w:rFonts w:ascii="Calibri" w:hAnsi="Calibri"/>
                <w:sz w:val="24"/>
                <w:szCs w:val="24"/>
              </w:rPr>
            </w:pPr>
            <w:r w:rsidRPr="003F2B4F">
              <w:rPr>
                <w:rFonts w:ascii="Calibri" w:hAnsi="Calibri"/>
                <w:sz w:val="24"/>
                <w:szCs w:val="24"/>
              </w:rPr>
              <w:t>£220,325</w:t>
            </w:r>
          </w:p>
        </w:tc>
        <w:tc>
          <w:tcPr>
            <w:tcW w:w="4252" w:type="dxa"/>
          </w:tcPr>
          <w:p w:rsidR="002443AB" w:rsidRPr="003F2B4F" w:rsidRDefault="008A548B" w:rsidP="003F2B4F">
            <w:pPr>
              <w:jc w:val="both"/>
              <w:rPr>
                <w:rFonts w:ascii="Calibri" w:hAnsi="Calibri"/>
                <w:sz w:val="24"/>
                <w:szCs w:val="24"/>
              </w:rPr>
            </w:pPr>
            <w:r w:rsidRPr="003F2B4F">
              <w:rPr>
                <w:rFonts w:ascii="Calibri" w:hAnsi="Calibri"/>
                <w:sz w:val="24"/>
                <w:szCs w:val="24"/>
              </w:rPr>
              <w:t>Provide a cushion for the election expenses</w:t>
            </w:r>
          </w:p>
        </w:tc>
      </w:tr>
      <w:tr w:rsidR="002443AB" w:rsidRPr="003F2B4F" w:rsidTr="003F2B4F">
        <w:tc>
          <w:tcPr>
            <w:tcW w:w="3686" w:type="dxa"/>
          </w:tcPr>
          <w:p w:rsidR="002443AB" w:rsidRPr="003F2B4F" w:rsidRDefault="00E03007" w:rsidP="003F2B4F">
            <w:pPr>
              <w:jc w:val="both"/>
              <w:rPr>
                <w:rFonts w:ascii="Calibri" w:hAnsi="Calibri"/>
                <w:sz w:val="24"/>
                <w:szCs w:val="24"/>
              </w:rPr>
            </w:pPr>
            <w:r w:rsidRPr="003F2B4F">
              <w:rPr>
                <w:rFonts w:ascii="Calibri" w:hAnsi="Calibri"/>
                <w:sz w:val="24"/>
                <w:szCs w:val="24"/>
              </w:rPr>
              <w:t>Insurance Fund</w:t>
            </w:r>
          </w:p>
        </w:tc>
        <w:tc>
          <w:tcPr>
            <w:tcW w:w="1701" w:type="dxa"/>
          </w:tcPr>
          <w:p w:rsidR="002443AB" w:rsidRPr="003F2B4F" w:rsidRDefault="00A8114C" w:rsidP="003F2B4F">
            <w:pPr>
              <w:jc w:val="right"/>
              <w:rPr>
                <w:rFonts w:ascii="Calibri" w:hAnsi="Calibri"/>
                <w:sz w:val="24"/>
                <w:szCs w:val="24"/>
              </w:rPr>
            </w:pPr>
            <w:r w:rsidRPr="003F2B4F">
              <w:rPr>
                <w:rFonts w:ascii="Calibri" w:hAnsi="Calibri"/>
                <w:sz w:val="24"/>
                <w:szCs w:val="24"/>
              </w:rPr>
              <w:t>£398,456</w:t>
            </w:r>
          </w:p>
        </w:tc>
        <w:tc>
          <w:tcPr>
            <w:tcW w:w="4252" w:type="dxa"/>
          </w:tcPr>
          <w:p w:rsidR="002443AB" w:rsidRPr="003F2B4F" w:rsidRDefault="002443AB" w:rsidP="003F2B4F">
            <w:pPr>
              <w:jc w:val="both"/>
              <w:rPr>
                <w:rFonts w:ascii="Calibri" w:hAnsi="Calibri"/>
                <w:sz w:val="24"/>
                <w:szCs w:val="24"/>
              </w:rPr>
            </w:pPr>
          </w:p>
        </w:tc>
      </w:tr>
      <w:tr w:rsidR="002443AB" w:rsidRPr="003F2B4F" w:rsidTr="003F2B4F">
        <w:tc>
          <w:tcPr>
            <w:tcW w:w="3686" w:type="dxa"/>
          </w:tcPr>
          <w:p w:rsidR="002443AB" w:rsidRPr="003F2B4F" w:rsidRDefault="00E03007" w:rsidP="003F2B4F">
            <w:pPr>
              <w:jc w:val="both"/>
              <w:rPr>
                <w:rFonts w:ascii="Calibri" w:hAnsi="Calibri"/>
                <w:sz w:val="24"/>
                <w:szCs w:val="24"/>
              </w:rPr>
            </w:pPr>
            <w:r w:rsidRPr="003F2B4F">
              <w:rPr>
                <w:rFonts w:ascii="Calibri" w:hAnsi="Calibri"/>
                <w:sz w:val="24"/>
                <w:szCs w:val="24"/>
              </w:rPr>
              <w:t>Repairs and Renewals Fund</w:t>
            </w:r>
          </w:p>
        </w:tc>
        <w:tc>
          <w:tcPr>
            <w:tcW w:w="1701" w:type="dxa"/>
          </w:tcPr>
          <w:p w:rsidR="002443AB" w:rsidRPr="003F2B4F" w:rsidRDefault="00A8114C" w:rsidP="003F2B4F">
            <w:pPr>
              <w:jc w:val="right"/>
              <w:rPr>
                <w:rFonts w:ascii="Calibri" w:hAnsi="Calibri"/>
                <w:sz w:val="24"/>
                <w:szCs w:val="24"/>
              </w:rPr>
            </w:pPr>
            <w:r w:rsidRPr="003F2B4F">
              <w:rPr>
                <w:rFonts w:ascii="Calibri" w:hAnsi="Calibri"/>
                <w:sz w:val="24"/>
                <w:szCs w:val="24"/>
              </w:rPr>
              <w:t>£2,411,187</w:t>
            </w:r>
          </w:p>
        </w:tc>
        <w:tc>
          <w:tcPr>
            <w:tcW w:w="4252" w:type="dxa"/>
          </w:tcPr>
          <w:p w:rsidR="002443AB" w:rsidRPr="003F2B4F" w:rsidRDefault="007C2707" w:rsidP="003F2B4F">
            <w:pPr>
              <w:jc w:val="both"/>
              <w:rPr>
                <w:rFonts w:ascii="Calibri" w:hAnsi="Calibri"/>
                <w:sz w:val="24"/>
                <w:szCs w:val="24"/>
              </w:rPr>
            </w:pPr>
            <w:r w:rsidRPr="003F2B4F">
              <w:rPr>
                <w:rFonts w:ascii="Calibri" w:hAnsi="Calibri"/>
                <w:sz w:val="24"/>
                <w:szCs w:val="24"/>
              </w:rPr>
              <w:t>Smooth out the charges levied to the general fund by providing for future repairs and renewals</w:t>
            </w:r>
          </w:p>
        </w:tc>
      </w:tr>
      <w:tr w:rsidR="00E03007" w:rsidRPr="003F2B4F" w:rsidTr="003F2B4F">
        <w:tc>
          <w:tcPr>
            <w:tcW w:w="3686" w:type="dxa"/>
          </w:tcPr>
          <w:p w:rsidR="00E03007" w:rsidRPr="003F2B4F" w:rsidRDefault="00E03007" w:rsidP="003F2B4F">
            <w:pPr>
              <w:jc w:val="both"/>
              <w:rPr>
                <w:rFonts w:ascii="Calibri" w:hAnsi="Calibri"/>
                <w:sz w:val="24"/>
                <w:szCs w:val="24"/>
              </w:rPr>
            </w:pPr>
            <w:r w:rsidRPr="003F2B4F">
              <w:rPr>
                <w:rFonts w:ascii="Calibri" w:hAnsi="Calibri"/>
                <w:sz w:val="24"/>
                <w:szCs w:val="24"/>
              </w:rPr>
              <w:t>Building Control Surplus</w:t>
            </w:r>
          </w:p>
        </w:tc>
        <w:tc>
          <w:tcPr>
            <w:tcW w:w="1701" w:type="dxa"/>
          </w:tcPr>
          <w:p w:rsidR="00E03007" w:rsidRPr="003F2B4F" w:rsidRDefault="00A8114C" w:rsidP="003F2B4F">
            <w:pPr>
              <w:jc w:val="right"/>
              <w:rPr>
                <w:rFonts w:ascii="Calibri" w:hAnsi="Calibri"/>
                <w:sz w:val="24"/>
                <w:szCs w:val="24"/>
              </w:rPr>
            </w:pPr>
            <w:r w:rsidRPr="003F2B4F">
              <w:rPr>
                <w:rFonts w:ascii="Calibri" w:hAnsi="Calibri"/>
                <w:sz w:val="24"/>
                <w:szCs w:val="24"/>
              </w:rPr>
              <w:t>-£7,077</w:t>
            </w:r>
          </w:p>
        </w:tc>
        <w:tc>
          <w:tcPr>
            <w:tcW w:w="4252" w:type="dxa"/>
          </w:tcPr>
          <w:p w:rsidR="00E03007" w:rsidRPr="003F2B4F" w:rsidRDefault="007C2707" w:rsidP="003F2B4F">
            <w:pPr>
              <w:jc w:val="both"/>
              <w:rPr>
                <w:rFonts w:ascii="Calibri" w:hAnsi="Calibri"/>
                <w:sz w:val="24"/>
                <w:szCs w:val="24"/>
              </w:rPr>
            </w:pPr>
            <w:r w:rsidRPr="003F2B4F">
              <w:rPr>
                <w:rFonts w:ascii="Calibri" w:hAnsi="Calibri"/>
                <w:sz w:val="24"/>
                <w:szCs w:val="24"/>
              </w:rPr>
              <w:t xml:space="preserve">Statutory account to be held to ensure surplus is </w:t>
            </w:r>
            <w:proofErr w:type="spellStart"/>
            <w:r w:rsidRPr="003F2B4F">
              <w:rPr>
                <w:rFonts w:ascii="Calibri" w:hAnsi="Calibri"/>
                <w:sz w:val="24"/>
                <w:szCs w:val="24"/>
              </w:rPr>
              <w:t>ringfenced</w:t>
            </w:r>
            <w:proofErr w:type="spellEnd"/>
            <w:r w:rsidRPr="003F2B4F">
              <w:rPr>
                <w:rFonts w:ascii="Calibri" w:hAnsi="Calibri"/>
                <w:sz w:val="24"/>
                <w:szCs w:val="24"/>
              </w:rPr>
              <w:t xml:space="preserve"> to Building Control</w:t>
            </w:r>
          </w:p>
        </w:tc>
      </w:tr>
      <w:tr w:rsidR="00E03007" w:rsidRPr="003F2B4F" w:rsidTr="003F2B4F">
        <w:tc>
          <w:tcPr>
            <w:tcW w:w="3686" w:type="dxa"/>
          </w:tcPr>
          <w:p w:rsidR="00E03007" w:rsidRPr="003F2B4F" w:rsidRDefault="00E03007" w:rsidP="003F2B4F">
            <w:pPr>
              <w:jc w:val="both"/>
              <w:rPr>
                <w:rFonts w:ascii="Calibri" w:hAnsi="Calibri"/>
                <w:sz w:val="24"/>
                <w:szCs w:val="24"/>
              </w:rPr>
            </w:pPr>
            <w:r w:rsidRPr="003F2B4F">
              <w:rPr>
                <w:rFonts w:ascii="Calibri" w:hAnsi="Calibri"/>
                <w:sz w:val="24"/>
                <w:szCs w:val="24"/>
              </w:rPr>
              <w:t>Museum Purchases Fund</w:t>
            </w:r>
          </w:p>
        </w:tc>
        <w:tc>
          <w:tcPr>
            <w:tcW w:w="1701" w:type="dxa"/>
          </w:tcPr>
          <w:p w:rsidR="00E03007" w:rsidRPr="003F2B4F" w:rsidRDefault="00A8114C" w:rsidP="003F2B4F">
            <w:pPr>
              <w:jc w:val="right"/>
              <w:rPr>
                <w:rFonts w:ascii="Calibri" w:hAnsi="Calibri"/>
                <w:sz w:val="24"/>
                <w:szCs w:val="24"/>
              </w:rPr>
            </w:pPr>
            <w:r w:rsidRPr="003F2B4F">
              <w:rPr>
                <w:rFonts w:ascii="Calibri" w:hAnsi="Calibri"/>
                <w:sz w:val="24"/>
                <w:szCs w:val="24"/>
              </w:rPr>
              <w:t>£11,414</w:t>
            </w:r>
          </w:p>
        </w:tc>
        <w:tc>
          <w:tcPr>
            <w:tcW w:w="4252" w:type="dxa"/>
          </w:tcPr>
          <w:p w:rsidR="00E03007" w:rsidRPr="003F2B4F" w:rsidRDefault="001D117A" w:rsidP="003F2B4F">
            <w:pPr>
              <w:jc w:val="both"/>
              <w:rPr>
                <w:rFonts w:ascii="Calibri" w:hAnsi="Calibri"/>
                <w:sz w:val="24"/>
                <w:szCs w:val="24"/>
              </w:rPr>
            </w:pPr>
            <w:r w:rsidRPr="003F2B4F">
              <w:rPr>
                <w:rFonts w:ascii="Calibri" w:hAnsi="Calibri"/>
                <w:sz w:val="24"/>
                <w:szCs w:val="24"/>
              </w:rPr>
              <w:t>Partly a Bequest from the Nicholson estate</w:t>
            </w:r>
          </w:p>
        </w:tc>
      </w:tr>
      <w:tr w:rsidR="00E03007" w:rsidRPr="003F2B4F" w:rsidTr="003F2B4F">
        <w:tc>
          <w:tcPr>
            <w:tcW w:w="3686" w:type="dxa"/>
          </w:tcPr>
          <w:p w:rsidR="00E03007" w:rsidRPr="003F2B4F" w:rsidRDefault="00E03007" w:rsidP="003F2B4F">
            <w:pPr>
              <w:jc w:val="both"/>
              <w:rPr>
                <w:rFonts w:ascii="Calibri" w:hAnsi="Calibri"/>
                <w:sz w:val="24"/>
                <w:szCs w:val="24"/>
              </w:rPr>
            </w:pPr>
            <w:r w:rsidRPr="003F2B4F">
              <w:rPr>
                <w:rFonts w:ascii="Calibri" w:hAnsi="Calibri"/>
                <w:sz w:val="24"/>
                <w:szCs w:val="24"/>
              </w:rPr>
              <w:t>Training Provision</w:t>
            </w:r>
          </w:p>
        </w:tc>
        <w:tc>
          <w:tcPr>
            <w:tcW w:w="1701" w:type="dxa"/>
          </w:tcPr>
          <w:p w:rsidR="00E03007" w:rsidRPr="003F2B4F" w:rsidRDefault="00A8114C" w:rsidP="003F2B4F">
            <w:pPr>
              <w:jc w:val="right"/>
              <w:rPr>
                <w:rFonts w:ascii="Calibri" w:hAnsi="Calibri"/>
                <w:sz w:val="24"/>
                <w:szCs w:val="24"/>
              </w:rPr>
            </w:pPr>
            <w:r w:rsidRPr="003F2B4F">
              <w:rPr>
                <w:rFonts w:ascii="Calibri" w:hAnsi="Calibri"/>
                <w:sz w:val="24"/>
                <w:szCs w:val="24"/>
              </w:rPr>
              <w:t>£152,182</w:t>
            </w:r>
          </w:p>
        </w:tc>
        <w:tc>
          <w:tcPr>
            <w:tcW w:w="4252" w:type="dxa"/>
          </w:tcPr>
          <w:p w:rsidR="00E03007" w:rsidRPr="003F2B4F" w:rsidRDefault="00D16F72" w:rsidP="003F2B4F">
            <w:pPr>
              <w:jc w:val="both"/>
              <w:rPr>
                <w:rFonts w:ascii="Calibri" w:hAnsi="Calibri"/>
                <w:sz w:val="24"/>
                <w:szCs w:val="24"/>
              </w:rPr>
            </w:pPr>
            <w:r w:rsidRPr="003F2B4F">
              <w:rPr>
                <w:rFonts w:ascii="Calibri" w:hAnsi="Calibri"/>
                <w:sz w:val="24"/>
                <w:szCs w:val="24"/>
              </w:rPr>
              <w:t>To fund any additional training needs and apprentice costs</w:t>
            </w:r>
          </w:p>
        </w:tc>
      </w:tr>
      <w:tr w:rsidR="00E03007" w:rsidRPr="003F2B4F" w:rsidTr="003F2B4F">
        <w:tc>
          <w:tcPr>
            <w:tcW w:w="3686" w:type="dxa"/>
          </w:tcPr>
          <w:p w:rsidR="00E03007" w:rsidRPr="003F2B4F" w:rsidRDefault="00E03007" w:rsidP="003F2B4F">
            <w:pPr>
              <w:jc w:val="both"/>
              <w:rPr>
                <w:rFonts w:ascii="Calibri" w:hAnsi="Calibri"/>
                <w:sz w:val="24"/>
                <w:szCs w:val="24"/>
              </w:rPr>
            </w:pPr>
            <w:r w:rsidRPr="003F2B4F">
              <w:rPr>
                <w:rFonts w:ascii="Calibri" w:hAnsi="Calibri"/>
                <w:sz w:val="24"/>
                <w:szCs w:val="24"/>
              </w:rPr>
              <w:t>Community Safety Fund</w:t>
            </w:r>
          </w:p>
        </w:tc>
        <w:tc>
          <w:tcPr>
            <w:tcW w:w="1701" w:type="dxa"/>
          </w:tcPr>
          <w:p w:rsidR="00E03007" w:rsidRPr="003F2B4F" w:rsidRDefault="00A8114C" w:rsidP="003F2B4F">
            <w:pPr>
              <w:jc w:val="right"/>
              <w:rPr>
                <w:rFonts w:ascii="Calibri" w:hAnsi="Calibri"/>
                <w:sz w:val="24"/>
                <w:szCs w:val="24"/>
              </w:rPr>
            </w:pPr>
            <w:r w:rsidRPr="003F2B4F">
              <w:rPr>
                <w:rFonts w:ascii="Calibri" w:hAnsi="Calibri"/>
                <w:sz w:val="24"/>
                <w:szCs w:val="24"/>
              </w:rPr>
              <w:t>£264,256</w:t>
            </w:r>
          </w:p>
        </w:tc>
        <w:tc>
          <w:tcPr>
            <w:tcW w:w="4252" w:type="dxa"/>
          </w:tcPr>
          <w:p w:rsidR="00E03007" w:rsidRPr="003F2B4F" w:rsidRDefault="00D16F72" w:rsidP="003F2B4F">
            <w:pPr>
              <w:jc w:val="both"/>
              <w:rPr>
                <w:rFonts w:ascii="Calibri" w:hAnsi="Calibri"/>
                <w:sz w:val="24"/>
                <w:szCs w:val="24"/>
              </w:rPr>
            </w:pPr>
            <w:r w:rsidRPr="003F2B4F">
              <w:rPr>
                <w:rFonts w:ascii="Calibri" w:hAnsi="Calibri"/>
                <w:sz w:val="24"/>
                <w:szCs w:val="24"/>
              </w:rPr>
              <w:t>To fund the cost of the Community Safety Partnership</w:t>
            </w:r>
          </w:p>
        </w:tc>
      </w:tr>
      <w:tr w:rsidR="00E03007" w:rsidRPr="003F2B4F" w:rsidTr="003F2B4F">
        <w:tc>
          <w:tcPr>
            <w:tcW w:w="3686" w:type="dxa"/>
          </w:tcPr>
          <w:p w:rsidR="00E03007" w:rsidRPr="003F2B4F" w:rsidRDefault="00E03007" w:rsidP="003F2B4F">
            <w:pPr>
              <w:jc w:val="both"/>
              <w:rPr>
                <w:rFonts w:ascii="Calibri" w:hAnsi="Calibri"/>
                <w:sz w:val="24"/>
                <w:szCs w:val="24"/>
              </w:rPr>
            </w:pPr>
            <w:r w:rsidRPr="003F2B4F">
              <w:rPr>
                <w:rFonts w:ascii="Calibri" w:hAnsi="Calibri"/>
                <w:sz w:val="24"/>
                <w:szCs w:val="24"/>
              </w:rPr>
              <w:t>Restructuring and Pay</w:t>
            </w:r>
          </w:p>
        </w:tc>
        <w:tc>
          <w:tcPr>
            <w:tcW w:w="1701" w:type="dxa"/>
          </w:tcPr>
          <w:p w:rsidR="00E03007" w:rsidRPr="003F2B4F" w:rsidRDefault="00A8114C" w:rsidP="003F2B4F">
            <w:pPr>
              <w:jc w:val="right"/>
              <w:rPr>
                <w:rFonts w:ascii="Calibri" w:hAnsi="Calibri"/>
                <w:sz w:val="24"/>
                <w:szCs w:val="24"/>
              </w:rPr>
            </w:pPr>
            <w:r w:rsidRPr="003F2B4F">
              <w:rPr>
                <w:rFonts w:ascii="Calibri" w:hAnsi="Calibri"/>
                <w:sz w:val="24"/>
                <w:szCs w:val="24"/>
              </w:rPr>
              <w:t>£100,000</w:t>
            </w:r>
          </w:p>
        </w:tc>
        <w:tc>
          <w:tcPr>
            <w:tcW w:w="4252" w:type="dxa"/>
          </w:tcPr>
          <w:p w:rsidR="00E03007" w:rsidRPr="003F2B4F" w:rsidRDefault="00E03007" w:rsidP="003F2B4F">
            <w:pPr>
              <w:jc w:val="both"/>
              <w:rPr>
                <w:rFonts w:ascii="Calibri" w:hAnsi="Calibri"/>
                <w:sz w:val="24"/>
                <w:szCs w:val="24"/>
              </w:rPr>
            </w:pPr>
          </w:p>
        </w:tc>
      </w:tr>
      <w:tr w:rsidR="00E03007" w:rsidRPr="003F2B4F" w:rsidTr="003F2B4F">
        <w:tc>
          <w:tcPr>
            <w:tcW w:w="3686" w:type="dxa"/>
          </w:tcPr>
          <w:p w:rsidR="00E03007" w:rsidRPr="003F2B4F" w:rsidRDefault="00E03007" w:rsidP="003F2B4F">
            <w:pPr>
              <w:jc w:val="both"/>
              <w:rPr>
                <w:rFonts w:ascii="Calibri" w:hAnsi="Calibri"/>
                <w:sz w:val="24"/>
                <w:szCs w:val="24"/>
              </w:rPr>
            </w:pPr>
            <w:r w:rsidRPr="003F2B4F">
              <w:rPr>
                <w:rFonts w:ascii="Calibri" w:hAnsi="Calibri"/>
                <w:sz w:val="24"/>
                <w:szCs w:val="24"/>
              </w:rPr>
              <w:t>Court Costs</w:t>
            </w:r>
          </w:p>
        </w:tc>
        <w:tc>
          <w:tcPr>
            <w:tcW w:w="1701" w:type="dxa"/>
          </w:tcPr>
          <w:p w:rsidR="00E03007" w:rsidRPr="003F2B4F" w:rsidRDefault="00A8114C" w:rsidP="003F2B4F">
            <w:pPr>
              <w:jc w:val="right"/>
              <w:rPr>
                <w:rFonts w:ascii="Calibri" w:hAnsi="Calibri"/>
                <w:sz w:val="24"/>
                <w:szCs w:val="24"/>
              </w:rPr>
            </w:pPr>
            <w:r w:rsidRPr="003F2B4F">
              <w:rPr>
                <w:rFonts w:ascii="Calibri" w:hAnsi="Calibri"/>
                <w:sz w:val="24"/>
                <w:szCs w:val="24"/>
              </w:rPr>
              <w:t>£59,769</w:t>
            </w:r>
          </w:p>
        </w:tc>
        <w:tc>
          <w:tcPr>
            <w:tcW w:w="4252" w:type="dxa"/>
          </w:tcPr>
          <w:p w:rsidR="00E03007" w:rsidRPr="003F2B4F" w:rsidRDefault="00D16F72" w:rsidP="003F2B4F">
            <w:pPr>
              <w:jc w:val="both"/>
              <w:rPr>
                <w:rFonts w:ascii="Calibri" w:hAnsi="Calibri"/>
                <w:sz w:val="24"/>
                <w:szCs w:val="24"/>
              </w:rPr>
            </w:pPr>
            <w:r w:rsidRPr="003F2B4F">
              <w:rPr>
                <w:rFonts w:ascii="Calibri" w:hAnsi="Calibri"/>
                <w:sz w:val="24"/>
                <w:szCs w:val="24"/>
              </w:rPr>
              <w:t>To fund any unplanned court costs</w:t>
            </w:r>
          </w:p>
        </w:tc>
      </w:tr>
      <w:tr w:rsidR="00E03007" w:rsidRPr="003F2B4F" w:rsidTr="003F2B4F">
        <w:tc>
          <w:tcPr>
            <w:tcW w:w="3686" w:type="dxa"/>
          </w:tcPr>
          <w:p w:rsidR="00E03007" w:rsidRPr="003F2B4F" w:rsidRDefault="00E03007" w:rsidP="003F2B4F">
            <w:pPr>
              <w:jc w:val="both"/>
              <w:rPr>
                <w:rFonts w:ascii="Calibri" w:hAnsi="Calibri"/>
                <w:sz w:val="24"/>
                <w:szCs w:val="24"/>
              </w:rPr>
            </w:pPr>
            <w:r w:rsidRPr="003F2B4F">
              <w:rPr>
                <w:rFonts w:ascii="Calibri" w:hAnsi="Calibri"/>
                <w:sz w:val="24"/>
                <w:szCs w:val="24"/>
              </w:rPr>
              <w:t>Change</w:t>
            </w:r>
            <w:r w:rsidR="00A8114C" w:rsidRPr="003F2B4F">
              <w:rPr>
                <w:rFonts w:ascii="Calibri" w:hAnsi="Calibri"/>
                <w:sz w:val="24"/>
                <w:szCs w:val="24"/>
              </w:rPr>
              <w:t>/Capital</w:t>
            </w:r>
            <w:r w:rsidRPr="003F2B4F">
              <w:rPr>
                <w:rFonts w:ascii="Calibri" w:hAnsi="Calibri"/>
                <w:sz w:val="24"/>
                <w:szCs w:val="24"/>
              </w:rPr>
              <w:t xml:space="preserve"> Fund</w:t>
            </w:r>
          </w:p>
        </w:tc>
        <w:tc>
          <w:tcPr>
            <w:tcW w:w="1701" w:type="dxa"/>
          </w:tcPr>
          <w:p w:rsidR="00E03007" w:rsidRPr="003F2B4F" w:rsidRDefault="00A8114C" w:rsidP="003F2B4F">
            <w:pPr>
              <w:jc w:val="right"/>
              <w:rPr>
                <w:rFonts w:ascii="Calibri" w:hAnsi="Calibri"/>
                <w:sz w:val="24"/>
                <w:szCs w:val="24"/>
              </w:rPr>
            </w:pPr>
            <w:r w:rsidRPr="003F2B4F">
              <w:rPr>
                <w:rFonts w:ascii="Calibri" w:hAnsi="Calibri"/>
                <w:sz w:val="24"/>
                <w:szCs w:val="24"/>
              </w:rPr>
              <w:t>£9,045,375</w:t>
            </w:r>
          </w:p>
        </w:tc>
        <w:tc>
          <w:tcPr>
            <w:tcW w:w="4252" w:type="dxa"/>
          </w:tcPr>
          <w:p w:rsidR="00E03007" w:rsidRPr="003F2B4F" w:rsidRDefault="00D16F72" w:rsidP="003F2B4F">
            <w:pPr>
              <w:jc w:val="both"/>
              <w:rPr>
                <w:rFonts w:ascii="Calibri" w:hAnsi="Calibri"/>
                <w:sz w:val="24"/>
                <w:szCs w:val="24"/>
              </w:rPr>
            </w:pPr>
            <w:r w:rsidRPr="003F2B4F">
              <w:rPr>
                <w:rFonts w:ascii="Calibri" w:hAnsi="Calibri"/>
                <w:sz w:val="24"/>
                <w:szCs w:val="24"/>
              </w:rPr>
              <w:t>To enable and facilitate the changing working environment</w:t>
            </w:r>
          </w:p>
        </w:tc>
      </w:tr>
      <w:tr w:rsidR="00E03007" w:rsidRPr="003F2B4F" w:rsidTr="003F2B4F">
        <w:tc>
          <w:tcPr>
            <w:tcW w:w="3686" w:type="dxa"/>
          </w:tcPr>
          <w:p w:rsidR="00E03007" w:rsidRPr="003F2B4F" w:rsidRDefault="00E03007" w:rsidP="003F2B4F">
            <w:pPr>
              <w:jc w:val="both"/>
              <w:rPr>
                <w:rFonts w:ascii="Calibri" w:hAnsi="Calibri"/>
                <w:sz w:val="24"/>
                <w:szCs w:val="24"/>
              </w:rPr>
            </w:pPr>
            <w:r w:rsidRPr="003F2B4F">
              <w:rPr>
                <w:rFonts w:ascii="Calibri" w:hAnsi="Calibri"/>
                <w:sz w:val="24"/>
                <w:szCs w:val="24"/>
              </w:rPr>
              <w:t>Planning Costs Fund</w:t>
            </w:r>
          </w:p>
        </w:tc>
        <w:tc>
          <w:tcPr>
            <w:tcW w:w="1701" w:type="dxa"/>
          </w:tcPr>
          <w:p w:rsidR="00E03007" w:rsidRPr="003F2B4F" w:rsidRDefault="00A8114C" w:rsidP="003F2B4F">
            <w:pPr>
              <w:jc w:val="right"/>
              <w:rPr>
                <w:rFonts w:ascii="Calibri" w:hAnsi="Calibri"/>
                <w:sz w:val="24"/>
                <w:szCs w:val="24"/>
              </w:rPr>
            </w:pPr>
            <w:r w:rsidRPr="003F2B4F">
              <w:rPr>
                <w:rFonts w:ascii="Calibri" w:hAnsi="Calibri"/>
                <w:sz w:val="24"/>
                <w:szCs w:val="24"/>
              </w:rPr>
              <w:t>£270,145</w:t>
            </w:r>
          </w:p>
        </w:tc>
        <w:tc>
          <w:tcPr>
            <w:tcW w:w="4252" w:type="dxa"/>
          </w:tcPr>
          <w:p w:rsidR="00E03007" w:rsidRPr="003F2B4F" w:rsidRDefault="00D16F72" w:rsidP="003F2B4F">
            <w:pPr>
              <w:jc w:val="both"/>
              <w:rPr>
                <w:rFonts w:ascii="Calibri" w:hAnsi="Calibri"/>
                <w:sz w:val="24"/>
                <w:szCs w:val="24"/>
              </w:rPr>
            </w:pPr>
            <w:r w:rsidRPr="003F2B4F">
              <w:rPr>
                <w:rFonts w:ascii="Calibri" w:hAnsi="Calibri"/>
                <w:sz w:val="24"/>
                <w:szCs w:val="24"/>
              </w:rPr>
              <w:t>To fund any unplanned planning enquiries or appeals</w:t>
            </w:r>
          </w:p>
        </w:tc>
      </w:tr>
      <w:tr w:rsidR="00E03007" w:rsidRPr="003F2B4F" w:rsidTr="003F2B4F">
        <w:tc>
          <w:tcPr>
            <w:tcW w:w="3686" w:type="dxa"/>
          </w:tcPr>
          <w:p w:rsidR="00E03007" w:rsidRPr="003F2B4F" w:rsidRDefault="00E03007" w:rsidP="003F2B4F">
            <w:pPr>
              <w:jc w:val="both"/>
              <w:rPr>
                <w:rFonts w:ascii="Calibri" w:hAnsi="Calibri"/>
                <w:sz w:val="24"/>
                <w:szCs w:val="24"/>
              </w:rPr>
            </w:pPr>
            <w:r w:rsidRPr="003F2B4F">
              <w:rPr>
                <w:rFonts w:ascii="Calibri" w:hAnsi="Calibri"/>
                <w:sz w:val="24"/>
                <w:szCs w:val="24"/>
              </w:rPr>
              <w:t>Unlawful Occupation of Land</w:t>
            </w:r>
          </w:p>
        </w:tc>
        <w:tc>
          <w:tcPr>
            <w:tcW w:w="1701" w:type="dxa"/>
          </w:tcPr>
          <w:p w:rsidR="00E03007" w:rsidRPr="003F2B4F" w:rsidRDefault="00A8114C" w:rsidP="003F2B4F">
            <w:pPr>
              <w:jc w:val="right"/>
              <w:rPr>
                <w:rFonts w:ascii="Calibri" w:hAnsi="Calibri"/>
                <w:sz w:val="24"/>
                <w:szCs w:val="24"/>
              </w:rPr>
            </w:pPr>
            <w:r w:rsidRPr="003F2B4F">
              <w:rPr>
                <w:rFonts w:ascii="Calibri" w:hAnsi="Calibri"/>
                <w:sz w:val="24"/>
                <w:szCs w:val="24"/>
              </w:rPr>
              <w:t>£9,250</w:t>
            </w:r>
          </w:p>
        </w:tc>
        <w:tc>
          <w:tcPr>
            <w:tcW w:w="4252" w:type="dxa"/>
          </w:tcPr>
          <w:p w:rsidR="00E03007" w:rsidRPr="003F2B4F" w:rsidRDefault="00D16F72" w:rsidP="003F2B4F">
            <w:pPr>
              <w:jc w:val="both"/>
              <w:rPr>
                <w:rFonts w:ascii="Calibri" w:hAnsi="Calibri"/>
                <w:sz w:val="24"/>
                <w:szCs w:val="24"/>
              </w:rPr>
            </w:pPr>
            <w:r w:rsidRPr="003F2B4F">
              <w:rPr>
                <w:rFonts w:ascii="Calibri" w:hAnsi="Calibri"/>
                <w:sz w:val="24"/>
                <w:szCs w:val="24"/>
              </w:rPr>
              <w:t>To fund any costs associated with ad hoc unlawful occupation of land issues</w:t>
            </w:r>
          </w:p>
        </w:tc>
      </w:tr>
      <w:tr w:rsidR="00E03007" w:rsidRPr="003F2B4F" w:rsidTr="003F2B4F">
        <w:tc>
          <w:tcPr>
            <w:tcW w:w="3686" w:type="dxa"/>
          </w:tcPr>
          <w:p w:rsidR="00E03007" w:rsidRPr="003F2B4F" w:rsidRDefault="00E03007" w:rsidP="003F2B4F">
            <w:pPr>
              <w:jc w:val="both"/>
              <w:rPr>
                <w:rFonts w:ascii="Calibri" w:hAnsi="Calibri"/>
                <w:sz w:val="24"/>
                <w:szCs w:val="24"/>
              </w:rPr>
            </w:pPr>
            <w:r w:rsidRPr="003F2B4F">
              <w:rPr>
                <w:rFonts w:ascii="Calibri" w:hAnsi="Calibri"/>
                <w:sz w:val="24"/>
                <w:szCs w:val="24"/>
              </w:rPr>
              <w:t>Fly Tipping Fund</w:t>
            </w:r>
          </w:p>
        </w:tc>
        <w:tc>
          <w:tcPr>
            <w:tcW w:w="1701" w:type="dxa"/>
          </w:tcPr>
          <w:p w:rsidR="00E03007" w:rsidRPr="003F2B4F" w:rsidRDefault="00A8114C" w:rsidP="003F2B4F">
            <w:pPr>
              <w:jc w:val="right"/>
              <w:rPr>
                <w:rFonts w:ascii="Calibri" w:hAnsi="Calibri"/>
                <w:sz w:val="24"/>
                <w:szCs w:val="24"/>
              </w:rPr>
            </w:pPr>
            <w:r w:rsidRPr="003F2B4F">
              <w:rPr>
                <w:rFonts w:ascii="Calibri" w:hAnsi="Calibri"/>
                <w:sz w:val="24"/>
                <w:szCs w:val="24"/>
              </w:rPr>
              <w:t>£100,000</w:t>
            </w:r>
          </w:p>
        </w:tc>
        <w:tc>
          <w:tcPr>
            <w:tcW w:w="4252" w:type="dxa"/>
          </w:tcPr>
          <w:p w:rsidR="00E03007" w:rsidRPr="003F2B4F" w:rsidRDefault="00D16F72" w:rsidP="003F2B4F">
            <w:pPr>
              <w:jc w:val="both"/>
              <w:rPr>
                <w:rFonts w:ascii="Calibri" w:hAnsi="Calibri"/>
                <w:sz w:val="24"/>
                <w:szCs w:val="24"/>
              </w:rPr>
            </w:pPr>
            <w:r w:rsidRPr="003F2B4F">
              <w:rPr>
                <w:rFonts w:ascii="Calibri" w:hAnsi="Calibri"/>
                <w:sz w:val="24"/>
                <w:szCs w:val="24"/>
              </w:rPr>
              <w:t>To fund any fly tipping issues that the revenue budget cannot contain</w:t>
            </w:r>
          </w:p>
        </w:tc>
      </w:tr>
      <w:tr w:rsidR="00E03007" w:rsidRPr="003F2B4F" w:rsidTr="003F2B4F">
        <w:tc>
          <w:tcPr>
            <w:tcW w:w="3686" w:type="dxa"/>
          </w:tcPr>
          <w:p w:rsidR="00E03007" w:rsidRPr="003F2B4F" w:rsidRDefault="00E03007" w:rsidP="003F2B4F">
            <w:pPr>
              <w:jc w:val="both"/>
              <w:rPr>
                <w:rFonts w:ascii="Calibri" w:hAnsi="Calibri"/>
                <w:sz w:val="24"/>
                <w:szCs w:val="24"/>
              </w:rPr>
            </w:pPr>
            <w:r w:rsidRPr="003F2B4F">
              <w:rPr>
                <w:rFonts w:ascii="Calibri" w:hAnsi="Calibri"/>
                <w:sz w:val="24"/>
                <w:szCs w:val="24"/>
              </w:rPr>
              <w:t>Homelessness Fund</w:t>
            </w:r>
          </w:p>
        </w:tc>
        <w:tc>
          <w:tcPr>
            <w:tcW w:w="1701" w:type="dxa"/>
          </w:tcPr>
          <w:p w:rsidR="00E03007" w:rsidRPr="003F2B4F" w:rsidRDefault="00A8114C" w:rsidP="003F2B4F">
            <w:pPr>
              <w:jc w:val="right"/>
              <w:rPr>
                <w:rFonts w:ascii="Calibri" w:hAnsi="Calibri"/>
                <w:sz w:val="24"/>
                <w:szCs w:val="24"/>
              </w:rPr>
            </w:pPr>
            <w:r w:rsidRPr="003F2B4F">
              <w:rPr>
                <w:rFonts w:ascii="Calibri" w:hAnsi="Calibri"/>
                <w:sz w:val="24"/>
                <w:szCs w:val="24"/>
              </w:rPr>
              <w:t>£327,724</w:t>
            </w:r>
          </w:p>
        </w:tc>
        <w:tc>
          <w:tcPr>
            <w:tcW w:w="4252" w:type="dxa"/>
          </w:tcPr>
          <w:p w:rsidR="00E03007" w:rsidRPr="003F2B4F" w:rsidRDefault="00D16F72" w:rsidP="003F2B4F">
            <w:pPr>
              <w:jc w:val="both"/>
              <w:rPr>
                <w:rFonts w:ascii="Calibri" w:hAnsi="Calibri"/>
                <w:sz w:val="24"/>
                <w:szCs w:val="24"/>
              </w:rPr>
            </w:pPr>
            <w:r w:rsidRPr="003F2B4F">
              <w:rPr>
                <w:rFonts w:ascii="Calibri" w:hAnsi="Calibri"/>
                <w:sz w:val="24"/>
                <w:szCs w:val="24"/>
              </w:rPr>
              <w:t>To fund initiatives provided by the Housing Options Team</w:t>
            </w:r>
          </w:p>
        </w:tc>
      </w:tr>
      <w:tr w:rsidR="00E03007" w:rsidRPr="003F2B4F" w:rsidTr="003F2B4F">
        <w:tc>
          <w:tcPr>
            <w:tcW w:w="3686" w:type="dxa"/>
          </w:tcPr>
          <w:p w:rsidR="00E03007" w:rsidRPr="003F2B4F" w:rsidRDefault="00E03007" w:rsidP="003F2B4F">
            <w:pPr>
              <w:jc w:val="both"/>
              <w:rPr>
                <w:rFonts w:ascii="Calibri" w:hAnsi="Calibri"/>
                <w:sz w:val="24"/>
                <w:szCs w:val="24"/>
              </w:rPr>
            </w:pPr>
            <w:r w:rsidRPr="003F2B4F">
              <w:rPr>
                <w:rFonts w:ascii="Calibri" w:hAnsi="Calibri"/>
                <w:sz w:val="24"/>
                <w:szCs w:val="24"/>
              </w:rPr>
              <w:t>Fuel and Energy Reserve</w:t>
            </w:r>
          </w:p>
        </w:tc>
        <w:tc>
          <w:tcPr>
            <w:tcW w:w="1701" w:type="dxa"/>
          </w:tcPr>
          <w:p w:rsidR="00E03007" w:rsidRPr="003F2B4F" w:rsidRDefault="00A8114C" w:rsidP="003F2B4F">
            <w:pPr>
              <w:jc w:val="right"/>
              <w:rPr>
                <w:rFonts w:ascii="Calibri" w:hAnsi="Calibri"/>
                <w:sz w:val="24"/>
                <w:szCs w:val="24"/>
              </w:rPr>
            </w:pPr>
            <w:r w:rsidRPr="003F2B4F">
              <w:rPr>
                <w:rFonts w:ascii="Calibri" w:hAnsi="Calibri"/>
                <w:sz w:val="24"/>
                <w:szCs w:val="24"/>
              </w:rPr>
              <w:t>£70,142</w:t>
            </w:r>
          </w:p>
        </w:tc>
        <w:tc>
          <w:tcPr>
            <w:tcW w:w="4252" w:type="dxa"/>
          </w:tcPr>
          <w:p w:rsidR="00E03007" w:rsidRPr="003F2B4F" w:rsidRDefault="00E03007" w:rsidP="003F2B4F">
            <w:pPr>
              <w:jc w:val="both"/>
              <w:rPr>
                <w:rFonts w:ascii="Calibri" w:hAnsi="Calibri"/>
                <w:sz w:val="24"/>
                <w:szCs w:val="24"/>
              </w:rPr>
            </w:pPr>
          </w:p>
        </w:tc>
      </w:tr>
      <w:tr w:rsidR="00E03007" w:rsidRPr="003F2B4F" w:rsidTr="003F2B4F">
        <w:tc>
          <w:tcPr>
            <w:tcW w:w="3686" w:type="dxa"/>
          </w:tcPr>
          <w:p w:rsidR="00E03007" w:rsidRPr="003F2B4F" w:rsidRDefault="00E03007" w:rsidP="003F2B4F">
            <w:pPr>
              <w:jc w:val="both"/>
              <w:rPr>
                <w:rFonts w:ascii="Calibri" w:hAnsi="Calibri"/>
                <w:sz w:val="24"/>
                <w:szCs w:val="24"/>
              </w:rPr>
            </w:pPr>
            <w:r w:rsidRPr="003F2B4F">
              <w:rPr>
                <w:rFonts w:ascii="Calibri" w:hAnsi="Calibri"/>
                <w:sz w:val="24"/>
                <w:szCs w:val="24"/>
              </w:rPr>
              <w:t>Refuse Bin Purchase</w:t>
            </w:r>
          </w:p>
        </w:tc>
        <w:tc>
          <w:tcPr>
            <w:tcW w:w="1701" w:type="dxa"/>
          </w:tcPr>
          <w:p w:rsidR="00E03007" w:rsidRPr="003F2B4F" w:rsidRDefault="00A8114C" w:rsidP="003F2B4F">
            <w:pPr>
              <w:jc w:val="right"/>
              <w:rPr>
                <w:rFonts w:ascii="Calibri" w:hAnsi="Calibri"/>
                <w:sz w:val="24"/>
                <w:szCs w:val="24"/>
              </w:rPr>
            </w:pPr>
            <w:r w:rsidRPr="003F2B4F">
              <w:rPr>
                <w:rFonts w:ascii="Calibri" w:hAnsi="Calibri"/>
                <w:sz w:val="24"/>
                <w:szCs w:val="24"/>
              </w:rPr>
              <w:t>£15,000</w:t>
            </w:r>
          </w:p>
        </w:tc>
        <w:tc>
          <w:tcPr>
            <w:tcW w:w="4252" w:type="dxa"/>
          </w:tcPr>
          <w:p w:rsidR="00E03007" w:rsidRPr="003F2B4F" w:rsidRDefault="00D16F72" w:rsidP="003F2B4F">
            <w:pPr>
              <w:jc w:val="both"/>
              <w:rPr>
                <w:rFonts w:ascii="Calibri" w:hAnsi="Calibri"/>
                <w:sz w:val="24"/>
                <w:szCs w:val="24"/>
              </w:rPr>
            </w:pPr>
            <w:r w:rsidRPr="003F2B4F">
              <w:rPr>
                <w:rFonts w:ascii="Calibri" w:hAnsi="Calibri"/>
                <w:sz w:val="24"/>
                <w:szCs w:val="24"/>
              </w:rPr>
              <w:t>To fund any bin purchases exceeding the existing revenue budget provision</w:t>
            </w:r>
          </w:p>
        </w:tc>
      </w:tr>
      <w:tr w:rsidR="00E03007" w:rsidRPr="003F2B4F" w:rsidTr="003F2B4F">
        <w:tc>
          <w:tcPr>
            <w:tcW w:w="3686" w:type="dxa"/>
          </w:tcPr>
          <w:p w:rsidR="00E03007" w:rsidRPr="003F2B4F" w:rsidRDefault="00E03007" w:rsidP="003F2B4F">
            <w:pPr>
              <w:jc w:val="both"/>
              <w:rPr>
                <w:rFonts w:ascii="Calibri" w:hAnsi="Calibri"/>
                <w:sz w:val="24"/>
                <w:szCs w:val="24"/>
              </w:rPr>
            </w:pPr>
            <w:r w:rsidRPr="003F2B4F">
              <w:rPr>
                <w:rFonts w:ascii="Calibri" w:hAnsi="Calibri"/>
                <w:sz w:val="24"/>
                <w:szCs w:val="24"/>
              </w:rPr>
              <w:t>Energy &amp; Home Support Reserve</w:t>
            </w:r>
          </w:p>
        </w:tc>
        <w:tc>
          <w:tcPr>
            <w:tcW w:w="1701" w:type="dxa"/>
          </w:tcPr>
          <w:p w:rsidR="00E03007" w:rsidRPr="003F2B4F" w:rsidRDefault="00A8114C" w:rsidP="003F2B4F">
            <w:pPr>
              <w:jc w:val="right"/>
              <w:rPr>
                <w:rFonts w:ascii="Calibri" w:hAnsi="Calibri"/>
                <w:sz w:val="24"/>
                <w:szCs w:val="24"/>
              </w:rPr>
            </w:pPr>
            <w:r w:rsidRPr="003F2B4F">
              <w:rPr>
                <w:rFonts w:ascii="Calibri" w:hAnsi="Calibri"/>
                <w:sz w:val="24"/>
                <w:szCs w:val="24"/>
              </w:rPr>
              <w:t>£116,580</w:t>
            </w:r>
          </w:p>
        </w:tc>
        <w:tc>
          <w:tcPr>
            <w:tcW w:w="4252" w:type="dxa"/>
          </w:tcPr>
          <w:p w:rsidR="00E03007" w:rsidRPr="003F2B4F" w:rsidRDefault="00D16F72" w:rsidP="003F2B4F">
            <w:pPr>
              <w:jc w:val="both"/>
              <w:rPr>
                <w:rFonts w:ascii="Calibri" w:hAnsi="Calibri"/>
                <w:sz w:val="24"/>
                <w:szCs w:val="24"/>
              </w:rPr>
            </w:pPr>
            <w:r w:rsidRPr="003F2B4F">
              <w:rPr>
                <w:rFonts w:ascii="Calibri" w:hAnsi="Calibri"/>
                <w:sz w:val="24"/>
                <w:szCs w:val="24"/>
              </w:rPr>
              <w:t>To assist vulnerable residents with heating/boiler issues</w:t>
            </w:r>
          </w:p>
        </w:tc>
      </w:tr>
      <w:tr w:rsidR="00E03007" w:rsidRPr="003F2B4F" w:rsidTr="003F2B4F">
        <w:tc>
          <w:tcPr>
            <w:tcW w:w="3686" w:type="dxa"/>
          </w:tcPr>
          <w:p w:rsidR="00E03007" w:rsidRPr="003F2B4F" w:rsidRDefault="00E03007" w:rsidP="003F2B4F">
            <w:pPr>
              <w:jc w:val="both"/>
              <w:rPr>
                <w:rFonts w:ascii="Calibri" w:hAnsi="Calibri"/>
                <w:sz w:val="24"/>
                <w:szCs w:val="24"/>
              </w:rPr>
            </w:pPr>
            <w:r w:rsidRPr="003F2B4F">
              <w:rPr>
                <w:rFonts w:ascii="Calibri" w:hAnsi="Calibri"/>
                <w:sz w:val="24"/>
                <w:szCs w:val="24"/>
              </w:rPr>
              <w:t>Growth &amp; Prosperity Fund</w:t>
            </w:r>
          </w:p>
        </w:tc>
        <w:tc>
          <w:tcPr>
            <w:tcW w:w="1701" w:type="dxa"/>
          </w:tcPr>
          <w:p w:rsidR="00E03007" w:rsidRPr="003F2B4F" w:rsidRDefault="00A8114C" w:rsidP="003F2B4F">
            <w:pPr>
              <w:jc w:val="right"/>
              <w:rPr>
                <w:rFonts w:ascii="Calibri" w:hAnsi="Calibri"/>
                <w:sz w:val="24"/>
                <w:szCs w:val="24"/>
              </w:rPr>
            </w:pPr>
            <w:r w:rsidRPr="003F2B4F">
              <w:rPr>
                <w:rFonts w:ascii="Calibri" w:hAnsi="Calibri"/>
                <w:sz w:val="24"/>
                <w:szCs w:val="24"/>
              </w:rPr>
              <w:t>£1,799,909</w:t>
            </w:r>
          </w:p>
        </w:tc>
        <w:tc>
          <w:tcPr>
            <w:tcW w:w="4252" w:type="dxa"/>
          </w:tcPr>
          <w:p w:rsidR="00E03007" w:rsidRPr="003F2B4F" w:rsidRDefault="00D16F72" w:rsidP="003F2B4F">
            <w:pPr>
              <w:jc w:val="both"/>
              <w:rPr>
                <w:rFonts w:ascii="Calibri" w:hAnsi="Calibri"/>
                <w:sz w:val="24"/>
                <w:szCs w:val="24"/>
              </w:rPr>
            </w:pPr>
            <w:r w:rsidRPr="003F2B4F">
              <w:rPr>
                <w:rFonts w:ascii="Calibri" w:hAnsi="Calibri"/>
                <w:sz w:val="24"/>
                <w:szCs w:val="24"/>
              </w:rPr>
              <w:t>Think Big loans fund for providing loans to small businesses</w:t>
            </w:r>
          </w:p>
        </w:tc>
      </w:tr>
      <w:tr w:rsidR="00A8114C" w:rsidRPr="003F2B4F" w:rsidTr="003F2B4F">
        <w:tc>
          <w:tcPr>
            <w:tcW w:w="3686" w:type="dxa"/>
          </w:tcPr>
          <w:p w:rsidR="00A8114C" w:rsidRPr="003F2B4F" w:rsidRDefault="00A8114C" w:rsidP="003F2B4F">
            <w:pPr>
              <w:jc w:val="both"/>
              <w:rPr>
                <w:rFonts w:ascii="Calibri" w:hAnsi="Calibri"/>
                <w:sz w:val="24"/>
                <w:szCs w:val="24"/>
              </w:rPr>
            </w:pPr>
            <w:r w:rsidRPr="003F2B4F">
              <w:rPr>
                <w:rFonts w:ascii="Calibri" w:hAnsi="Calibri"/>
                <w:sz w:val="24"/>
                <w:szCs w:val="24"/>
              </w:rPr>
              <w:t>Warm Homes on Prescription</w:t>
            </w:r>
          </w:p>
        </w:tc>
        <w:tc>
          <w:tcPr>
            <w:tcW w:w="1701" w:type="dxa"/>
          </w:tcPr>
          <w:p w:rsidR="00A8114C" w:rsidRPr="003F2B4F" w:rsidRDefault="00A41288" w:rsidP="003F2B4F">
            <w:pPr>
              <w:jc w:val="right"/>
              <w:rPr>
                <w:rFonts w:ascii="Calibri" w:hAnsi="Calibri"/>
                <w:sz w:val="24"/>
                <w:szCs w:val="24"/>
              </w:rPr>
            </w:pPr>
            <w:r w:rsidRPr="003F2B4F">
              <w:rPr>
                <w:rFonts w:ascii="Calibri" w:hAnsi="Calibri"/>
                <w:sz w:val="24"/>
                <w:szCs w:val="24"/>
              </w:rPr>
              <w:t>£110,849</w:t>
            </w:r>
          </w:p>
        </w:tc>
        <w:tc>
          <w:tcPr>
            <w:tcW w:w="4252" w:type="dxa"/>
          </w:tcPr>
          <w:p w:rsidR="00A8114C" w:rsidRPr="003F2B4F" w:rsidRDefault="007430EE" w:rsidP="003F2B4F">
            <w:pPr>
              <w:jc w:val="both"/>
              <w:rPr>
                <w:rFonts w:ascii="Calibri" w:hAnsi="Calibri"/>
                <w:sz w:val="24"/>
                <w:szCs w:val="24"/>
              </w:rPr>
            </w:pPr>
            <w:r w:rsidRPr="003F2B4F">
              <w:rPr>
                <w:rFonts w:ascii="Calibri" w:hAnsi="Calibri"/>
                <w:sz w:val="24"/>
                <w:szCs w:val="24"/>
              </w:rPr>
              <w:t>Grant funded income relating to schemes to reduce fuel poverty</w:t>
            </w:r>
          </w:p>
        </w:tc>
      </w:tr>
      <w:tr w:rsidR="00A41288" w:rsidRPr="003F2B4F" w:rsidTr="003F2B4F">
        <w:tc>
          <w:tcPr>
            <w:tcW w:w="3686" w:type="dxa"/>
          </w:tcPr>
          <w:p w:rsidR="00A41288" w:rsidRPr="003F2B4F" w:rsidRDefault="008A548B" w:rsidP="003F2B4F">
            <w:pPr>
              <w:jc w:val="both"/>
              <w:rPr>
                <w:rFonts w:ascii="Calibri" w:hAnsi="Calibri"/>
                <w:sz w:val="24"/>
                <w:szCs w:val="24"/>
              </w:rPr>
            </w:pPr>
            <w:r w:rsidRPr="003F2B4F">
              <w:rPr>
                <w:rFonts w:ascii="Calibri" w:hAnsi="Calibri"/>
                <w:sz w:val="24"/>
                <w:szCs w:val="24"/>
              </w:rPr>
              <w:lastRenderedPageBreak/>
              <w:t xml:space="preserve">Welfare Reform </w:t>
            </w:r>
          </w:p>
        </w:tc>
        <w:tc>
          <w:tcPr>
            <w:tcW w:w="1701" w:type="dxa"/>
          </w:tcPr>
          <w:p w:rsidR="00A41288" w:rsidRPr="003F2B4F" w:rsidRDefault="008A548B" w:rsidP="003F2B4F">
            <w:pPr>
              <w:jc w:val="right"/>
              <w:rPr>
                <w:rFonts w:ascii="Calibri" w:hAnsi="Calibri"/>
                <w:sz w:val="24"/>
                <w:szCs w:val="24"/>
              </w:rPr>
            </w:pPr>
            <w:r w:rsidRPr="003F2B4F">
              <w:rPr>
                <w:rFonts w:ascii="Calibri" w:hAnsi="Calibri"/>
                <w:sz w:val="24"/>
                <w:szCs w:val="24"/>
              </w:rPr>
              <w:t>£25,774</w:t>
            </w:r>
          </w:p>
        </w:tc>
        <w:tc>
          <w:tcPr>
            <w:tcW w:w="4252" w:type="dxa"/>
          </w:tcPr>
          <w:p w:rsidR="00A41288" w:rsidRPr="003F2B4F" w:rsidRDefault="00A41288" w:rsidP="003F2B4F">
            <w:pPr>
              <w:jc w:val="both"/>
              <w:rPr>
                <w:rFonts w:ascii="Calibri" w:hAnsi="Calibri"/>
                <w:sz w:val="24"/>
                <w:szCs w:val="24"/>
              </w:rPr>
            </w:pPr>
          </w:p>
        </w:tc>
      </w:tr>
      <w:tr w:rsidR="008A548B" w:rsidRPr="003F2B4F" w:rsidTr="003F2B4F">
        <w:tc>
          <w:tcPr>
            <w:tcW w:w="3686" w:type="dxa"/>
          </w:tcPr>
          <w:p w:rsidR="008A548B" w:rsidRPr="003F2B4F" w:rsidRDefault="008A548B" w:rsidP="003F2B4F">
            <w:pPr>
              <w:jc w:val="both"/>
              <w:rPr>
                <w:rFonts w:ascii="Calibri" w:hAnsi="Calibri"/>
                <w:sz w:val="24"/>
                <w:szCs w:val="24"/>
              </w:rPr>
            </w:pPr>
            <w:r w:rsidRPr="003F2B4F">
              <w:rPr>
                <w:rFonts w:ascii="Calibri" w:hAnsi="Calibri"/>
                <w:sz w:val="24"/>
                <w:szCs w:val="24"/>
              </w:rPr>
              <w:t>Development Company</w:t>
            </w:r>
          </w:p>
        </w:tc>
        <w:tc>
          <w:tcPr>
            <w:tcW w:w="1701" w:type="dxa"/>
          </w:tcPr>
          <w:p w:rsidR="008A548B" w:rsidRPr="003F2B4F" w:rsidRDefault="008A548B" w:rsidP="003F2B4F">
            <w:pPr>
              <w:jc w:val="right"/>
              <w:rPr>
                <w:rFonts w:ascii="Calibri" w:hAnsi="Calibri"/>
                <w:sz w:val="24"/>
                <w:szCs w:val="24"/>
              </w:rPr>
            </w:pPr>
            <w:r w:rsidRPr="003F2B4F">
              <w:rPr>
                <w:rFonts w:ascii="Calibri" w:hAnsi="Calibri"/>
                <w:sz w:val="24"/>
                <w:szCs w:val="24"/>
              </w:rPr>
              <w:t>£4,000,000</w:t>
            </w:r>
          </w:p>
        </w:tc>
        <w:tc>
          <w:tcPr>
            <w:tcW w:w="4252" w:type="dxa"/>
          </w:tcPr>
          <w:p w:rsidR="008A548B" w:rsidRPr="003F2B4F" w:rsidRDefault="003F7C72" w:rsidP="003F2B4F">
            <w:pPr>
              <w:jc w:val="both"/>
              <w:rPr>
                <w:rFonts w:ascii="Calibri" w:hAnsi="Calibri"/>
                <w:sz w:val="24"/>
                <w:szCs w:val="24"/>
              </w:rPr>
            </w:pPr>
            <w:r w:rsidRPr="003F2B4F">
              <w:rPr>
                <w:rFonts w:ascii="Calibri" w:hAnsi="Calibri"/>
                <w:sz w:val="24"/>
                <w:szCs w:val="24"/>
              </w:rPr>
              <w:t>To finance the equity funding needed to set up the development company</w:t>
            </w:r>
          </w:p>
        </w:tc>
      </w:tr>
      <w:tr w:rsidR="00A8114C" w:rsidRPr="003F2B4F" w:rsidTr="003F2B4F">
        <w:tc>
          <w:tcPr>
            <w:tcW w:w="3686" w:type="dxa"/>
          </w:tcPr>
          <w:p w:rsidR="00A8114C" w:rsidRPr="003F2B4F" w:rsidRDefault="008A548B" w:rsidP="003F2B4F">
            <w:pPr>
              <w:jc w:val="both"/>
              <w:rPr>
                <w:rFonts w:ascii="Calibri" w:hAnsi="Calibri"/>
                <w:sz w:val="24"/>
                <w:szCs w:val="24"/>
              </w:rPr>
            </w:pPr>
            <w:r w:rsidRPr="003F2B4F">
              <w:rPr>
                <w:rFonts w:ascii="Calibri" w:hAnsi="Calibri"/>
                <w:sz w:val="24"/>
                <w:szCs w:val="24"/>
              </w:rPr>
              <w:t>Management Carry forwards</w:t>
            </w:r>
          </w:p>
        </w:tc>
        <w:tc>
          <w:tcPr>
            <w:tcW w:w="1701" w:type="dxa"/>
          </w:tcPr>
          <w:p w:rsidR="00A8114C" w:rsidRPr="003F2B4F" w:rsidRDefault="008A548B" w:rsidP="003F2B4F">
            <w:pPr>
              <w:jc w:val="right"/>
              <w:rPr>
                <w:rFonts w:ascii="Calibri" w:hAnsi="Calibri"/>
                <w:sz w:val="24"/>
                <w:szCs w:val="24"/>
              </w:rPr>
            </w:pPr>
            <w:r w:rsidRPr="003F2B4F">
              <w:rPr>
                <w:rFonts w:ascii="Calibri" w:hAnsi="Calibri"/>
                <w:sz w:val="24"/>
                <w:szCs w:val="24"/>
              </w:rPr>
              <w:t>£224,268</w:t>
            </w:r>
          </w:p>
        </w:tc>
        <w:tc>
          <w:tcPr>
            <w:tcW w:w="4252" w:type="dxa"/>
          </w:tcPr>
          <w:p w:rsidR="00A8114C" w:rsidRPr="003F2B4F" w:rsidRDefault="003F7C72" w:rsidP="003F2B4F">
            <w:pPr>
              <w:jc w:val="both"/>
              <w:rPr>
                <w:rFonts w:ascii="Calibri" w:hAnsi="Calibri"/>
                <w:sz w:val="24"/>
                <w:szCs w:val="24"/>
              </w:rPr>
            </w:pPr>
            <w:r w:rsidRPr="003F2B4F">
              <w:rPr>
                <w:rFonts w:ascii="Calibri" w:hAnsi="Calibri"/>
                <w:sz w:val="24"/>
                <w:szCs w:val="24"/>
              </w:rPr>
              <w:t>Management carry forward requests to be spent during 2018/19</w:t>
            </w:r>
          </w:p>
        </w:tc>
      </w:tr>
      <w:tr w:rsidR="00E03007" w:rsidRPr="003F2B4F" w:rsidTr="003F2B4F">
        <w:tc>
          <w:tcPr>
            <w:tcW w:w="3686" w:type="dxa"/>
          </w:tcPr>
          <w:p w:rsidR="00E03007" w:rsidRPr="003F2B4F" w:rsidRDefault="00E03007" w:rsidP="003F2B4F">
            <w:pPr>
              <w:jc w:val="both"/>
              <w:rPr>
                <w:rFonts w:ascii="Calibri" w:hAnsi="Calibri"/>
                <w:sz w:val="24"/>
                <w:szCs w:val="24"/>
              </w:rPr>
            </w:pPr>
            <w:r w:rsidRPr="003F2B4F">
              <w:rPr>
                <w:rFonts w:ascii="Calibri" w:hAnsi="Calibri"/>
                <w:sz w:val="24"/>
                <w:szCs w:val="24"/>
              </w:rPr>
              <w:t>Emergency Planning Reserve</w:t>
            </w:r>
          </w:p>
        </w:tc>
        <w:tc>
          <w:tcPr>
            <w:tcW w:w="1701" w:type="dxa"/>
          </w:tcPr>
          <w:p w:rsidR="00E03007" w:rsidRPr="003F2B4F" w:rsidRDefault="00A8114C" w:rsidP="003F2B4F">
            <w:pPr>
              <w:jc w:val="right"/>
              <w:rPr>
                <w:rFonts w:ascii="Calibri" w:hAnsi="Calibri"/>
                <w:sz w:val="24"/>
                <w:szCs w:val="24"/>
              </w:rPr>
            </w:pPr>
            <w:r w:rsidRPr="003F2B4F">
              <w:rPr>
                <w:rFonts w:ascii="Calibri" w:hAnsi="Calibri"/>
                <w:sz w:val="24"/>
                <w:szCs w:val="24"/>
              </w:rPr>
              <w:t>£50,000</w:t>
            </w:r>
          </w:p>
        </w:tc>
        <w:tc>
          <w:tcPr>
            <w:tcW w:w="4252" w:type="dxa"/>
          </w:tcPr>
          <w:p w:rsidR="00E03007" w:rsidRPr="003F2B4F" w:rsidRDefault="003F7C72" w:rsidP="003F2B4F">
            <w:pPr>
              <w:jc w:val="both"/>
              <w:rPr>
                <w:rFonts w:ascii="Calibri" w:hAnsi="Calibri"/>
                <w:sz w:val="24"/>
                <w:szCs w:val="24"/>
              </w:rPr>
            </w:pPr>
            <w:r w:rsidRPr="003F2B4F">
              <w:rPr>
                <w:rFonts w:ascii="Calibri" w:hAnsi="Calibri"/>
                <w:sz w:val="24"/>
                <w:szCs w:val="24"/>
              </w:rPr>
              <w:t>To replenish emergency planning stocks</w:t>
            </w:r>
          </w:p>
        </w:tc>
      </w:tr>
      <w:tr w:rsidR="00E03007" w:rsidRPr="003F2B4F" w:rsidTr="003F2B4F">
        <w:tc>
          <w:tcPr>
            <w:tcW w:w="3686" w:type="dxa"/>
          </w:tcPr>
          <w:p w:rsidR="00E03007" w:rsidRPr="003F2B4F" w:rsidRDefault="00E03007" w:rsidP="003F2B4F">
            <w:pPr>
              <w:jc w:val="both"/>
              <w:rPr>
                <w:rFonts w:ascii="Calibri" w:hAnsi="Calibri"/>
                <w:b/>
                <w:sz w:val="24"/>
                <w:szCs w:val="24"/>
              </w:rPr>
            </w:pPr>
            <w:r w:rsidRPr="003F2B4F">
              <w:rPr>
                <w:rFonts w:ascii="Calibri" w:hAnsi="Calibri"/>
                <w:b/>
                <w:sz w:val="24"/>
                <w:szCs w:val="24"/>
              </w:rPr>
              <w:t>Unconditional Grants Unapplied:</w:t>
            </w:r>
          </w:p>
        </w:tc>
        <w:tc>
          <w:tcPr>
            <w:tcW w:w="1701" w:type="dxa"/>
          </w:tcPr>
          <w:p w:rsidR="00E03007" w:rsidRPr="003F2B4F" w:rsidRDefault="00E03007" w:rsidP="003F2B4F">
            <w:pPr>
              <w:jc w:val="right"/>
              <w:rPr>
                <w:rFonts w:ascii="Calibri" w:hAnsi="Calibri"/>
                <w:sz w:val="24"/>
                <w:szCs w:val="24"/>
              </w:rPr>
            </w:pPr>
          </w:p>
        </w:tc>
        <w:tc>
          <w:tcPr>
            <w:tcW w:w="4252" w:type="dxa"/>
          </w:tcPr>
          <w:p w:rsidR="00E03007" w:rsidRPr="003F2B4F" w:rsidRDefault="00E03007" w:rsidP="003F2B4F">
            <w:pPr>
              <w:jc w:val="both"/>
              <w:rPr>
                <w:rFonts w:ascii="Calibri" w:hAnsi="Calibri"/>
                <w:sz w:val="24"/>
                <w:szCs w:val="24"/>
              </w:rPr>
            </w:pPr>
          </w:p>
        </w:tc>
      </w:tr>
      <w:tr w:rsidR="00E03007" w:rsidRPr="003F2B4F" w:rsidTr="003F2B4F">
        <w:tc>
          <w:tcPr>
            <w:tcW w:w="3686" w:type="dxa"/>
          </w:tcPr>
          <w:p w:rsidR="00E03007" w:rsidRPr="003F2B4F" w:rsidRDefault="00E03007" w:rsidP="003F2B4F">
            <w:pPr>
              <w:jc w:val="both"/>
              <w:rPr>
                <w:rFonts w:ascii="Calibri" w:hAnsi="Calibri"/>
                <w:sz w:val="24"/>
                <w:szCs w:val="24"/>
              </w:rPr>
            </w:pPr>
            <w:r w:rsidRPr="003F2B4F">
              <w:rPr>
                <w:rFonts w:ascii="Calibri" w:hAnsi="Calibri"/>
                <w:sz w:val="24"/>
                <w:szCs w:val="24"/>
              </w:rPr>
              <w:t>Revenue Grants Unapplied</w:t>
            </w:r>
          </w:p>
        </w:tc>
        <w:tc>
          <w:tcPr>
            <w:tcW w:w="1701" w:type="dxa"/>
          </w:tcPr>
          <w:p w:rsidR="00E03007" w:rsidRPr="003F2B4F" w:rsidRDefault="008A548B" w:rsidP="003F2B4F">
            <w:pPr>
              <w:jc w:val="right"/>
              <w:rPr>
                <w:rFonts w:ascii="Calibri" w:hAnsi="Calibri"/>
                <w:sz w:val="24"/>
                <w:szCs w:val="24"/>
              </w:rPr>
            </w:pPr>
            <w:r w:rsidRPr="003F2B4F">
              <w:rPr>
                <w:rFonts w:ascii="Calibri" w:hAnsi="Calibri"/>
                <w:sz w:val="24"/>
                <w:szCs w:val="24"/>
              </w:rPr>
              <w:t>£185,230</w:t>
            </w:r>
          </w:p>
        </w:tc>
        <w:tc>
          <w:tcPr>
            <w:tcW w:w="4252" w:type="dxa"/>
          </w:tcPr>
          <w:p w:rsidR="00E03007" w:rsidRPr="003F2B4F" w:rsidRDefault="003F7C72" w:rsidP="003F2B4F">
            <w:pPr>
              <w:jc w:val="both"/>
              <w:rPr>
                <w:rFonts w:ascii="Calibri" w:hAnsi="Calibri"/>
                <w:sz w:val="24"/>
                <w:szCs w:val="24"/>
              </w:rPr>
            </w:pPr>
            <w:r w:rsidRPr="003F2B4F">
              <w:rPr>
                <w:rFonts w:ascii="Calibri" w:hAnsi="Calibri"/>
                <w:sz w:val="24"/>
                <w:szCs w:val="24"/>
              </w:rPr>
              <w:t>Various revenue grants without conditions yet to be utilised</w:t>
            </w:r>
          </w:p>
        </w:tc>
      </w:tr>
      <w:tr w:rsidR="00E03007" w:rsidRPr="003F2B4F" w:rsidTr="003F2B4F">
        <w:tc>
          <w:tcPr>
            <w:tcW w:w="3686" w:type="dxa"/>
          </w:tcPr>
          <w:p w:rsidR="00E03007" w:rsidRPr="003F2B4F" w:rsidRDefault="00E03007" w:rsidP="003F2B4F">
            <w:pPr>
              <w:jc w:val="both"/>
              <w:rPr>
                <w:rFonts w:ascii="Calibri" w:hAnsi="Calibri"/>
                <w:b/>
                <w:sz w:val="24"/>
                <w:szCs w:val="24"/>
              </w:rPr>
            </w:pPr>
            <w:r w:rsidRPr="003F2B4F">
              <w:rPr>
                <w:rFonts w:ascii="Calibri" w:hAnsi="Calibri"/>
                <w:b/>
                <w:sz w:val="24"/>
                <w:szCs w:val="24"/>
              </w:rPr>
              <w:t>Total:</w:t>
            </w:r>
          </w:p>
        </w:tc>
        <w:tc>
          <w:tcPr>
            <w:tcW w:w="1701" w:type="dxa"/>
          </w:tcPr>
          <w:p w:rsidR="00E03007" w:rsidRPr="003F2B4F" w:rsidRDefault="008A548B" w:rsidP="003F2B4F">
            <w:pPr>
              <w:jc w:val="right"/>
              <w:rPr>
                <w:rFonts w:ascii="Calibri" w:hAnsi="Calibri"/>
                <w:b/>
                <w:sz w:val="24"/>
                <w:szCs w:val="24"/>
              </w:rPr>
            </w:pPr>
            <w:r w:rsidRPr="003F2B4F">
              <w:rPr>
                <w:rFonts w:ascii="Calibri" w:hAnsi="Calibri"/>
                <w:b/>
                <w:sz w:val="24"/>
                <w:szCs w:val="24"/>
              </w:rPr>
              <w:t>£21</w:t>
            </w:r>
            <w:r w:rsidR="000476E2" w:rsidRPr="003F2B4F">
              <w:rPr>
                <w:rFonts w:ascii="Calibri" w:hAnsi="Calibri"/>
                <w:b/>
                <w:sz w:val="24"/>
                <w:szCs w:val="24"/>
              </w:rPr>
              <w:t>,</w:t>
            </w:r>
            <w:r w:rsidRPr="003F2B4F">
              <w:rPr>
                <w:rFonts w:ascii="Calibri" w:hAnsi="Calibri"/>
                <w:b/>
                <w:sz w:val="24"/>
                <w:szCs w:val="24"/>
              </w:rPr>
              <w:t>789,511</w:t>
            </w:r>
          </w:p>
        </w:tc>
        <w:tc>
          <w:tcPr>
            <w:tcW w:w="4252" w:type="dxa"/>
          </w:tcPr>
          <w:p w:rsidR="00E03007" w:rsidRPr="003F2B4F" w:rsidRDefault="00E03007" w:rsidP="003F2B4F">
            <w:pPr>
              <w:jc w:val="both"/>
              <w:rPr>
                <w:rFonts w:ascii="Calibri" w:hAnsi="Calibri"/>
                <w:b/>
                <w:sz w:val="24"/>
                <w:szCs w:val="24"/>
              </w:rPr>
            </w:pPr>
          </w:p>
        </w:tc>
      </w:tr>
    </w:tbl>
    <w:p w:rsidR="002443AB" w:rsidRPr="003F2B4F" w:rsidRDefault="002443AB" w:rsidP="003F2B4F">
      <w:pPr>
        <w:spacing w:after="0" w:line="240" w:lineRule="auto"/>
        <w:jc w:val="both"/>
        <w:rPr>
          <w:rFonts w:ascii="Calibri" w:hAnsi="Calibri"/>
          <w:sz w:val="24"/>
          <w:szCs w:val="24"/>
        </w:rPr>
      </w:pPr>
    </w:p>
    <w:p w:rsidR="0034257A" w:rsidRDefault="0034257A" w:rsidP="003F2B4F">
      <w:pPr>
        <w:spacing w:after="0" w:line="240" w:lineRule="auto"/>
        <w:jc w:val="both"/>
        <w:rPr>
          <w:rFonts w:ascii="Calibri" w:hAnsi="Calibri"/>
          <w:sz w:val="24"/>
          <w:szCs w:val="24"/>
        </w:rPr>
      </w:pPr>
      <w:r w:rsidRPr="003F2B4F">
        <w:rPr>
          <w:rFonts w:ascii="Calibri" w:hAnsi="Calibri"/>
          <w:sz w:val="24"/>
          <w:szCs w:val="24"/>
        </w:rPr>
        <w:t>Appendix A shows the expected balances at the end of the current financial year (2018/19) and the 2019/20 financial year.</w:t>
      </w:r>
    </w:p>
    <w:p w:rsidR="003F2B4F" w:rsidRPr="003F2B4F" w:rsidRDefault="003F2B4F" w:rsidP="003F2B4F">
      <w:pPr>
        <w:spacing w:after="0" w:line="240" w:lineRule="auto"/>
        <w:jc w:val="both"/>
        <w:rPr>
          <w:rFonts w:ascii="Calibri" w:hAnsi="Calibri"/>
          <w:sz w:val="24"/>
          <w:szCs w:val="24"/>
        </w:rPr>
      </w:pPr>
    </w:p>
    <w:p w:rsidR="00C21093" w:rsidRDefault="00C21093" w:rsidP="003F2B4F">
      <w:pPr>
        <w:spacing w:after="0" w:line="240" w:lineRule="auto"/>
        <w:jc w:val="both"/>
        <w:rPr>
          <w:rFonts w:ascii="Calibri" w:hAnsi="Calibri"/>
          <w:sz w:val="24"/>
          <w:szCs w:val="24"/>
        </w:rPr>
      </w:pPr>
      <w:r w:rsidRPr="003F2B4F">
        <w:rPr>
          <w:rFonts w:ascii="Calibri" w:hAnsi="Calibri"/>
          <w:sz w:val="24"/>
          <w:szCs w:val="24"/>
        </w:rPr>
        <w:t>One of the key underpinning financial principles of the MTFP is to not use the Council’s reserves (and other one-off resources) as a method to balance the ongoing pressures of the budget. However, over the years, the Council has made use of its reserves to deal with one-off unbudgeted matters: to improve services, or to offset declining income levels and support service delivery.</w:t>
      </w:r>
    </w:p>
    <w:p w:rsidR="003F2B4F" w:rsidRPr="003F2B4F" w:rsidRDefault="003F2B4F" w:rsidP="003F2B4F">
      <w:pPr>
        <w:spacing w:after="0" w:line="240" w:lineRule="auto"/>
        <w:jc w:val="both"/>
        <w:rPr>
          <w:rFonts w:ascii="Calibri" w:hAnsi="Calibri"/>
          <w:sz w:val="24"/>
          <w:szCs w:val="24"/>
        </w:rPr>
      </w:pPr>
    </w:p>
    <w:p w:rsidR="00C21093" w:rsidRDefault="00C21093" w:rsidP="003F2B4F">
      <w:pPr>
        <w:spacing w:after="0" w:line="240" w:lineRule="auto"/>
        <w:jc w:val="both"/>
        <w:rPr>
          <w:rFonts w:ascii="Calibri" w:hAnsi="Calibri"/>
          <w:sz w:val="24"/>
          <w:szCs w:val="24"/>
        </w:rPr>
      </w:pPr>
      <w:r w:rsidRPr="003F2B4F">
        <w:rPr>
          <w:rFonts w:ascii="Calibri" w:hAnsi="Calibri"/>
          <w:sz w:val="24"/>
          <w:szCs w:val="24"/>
        </w:rPr>
        <w:t xml:space="preserve">Any situation that jeopardises the levels of reserves will be a serious matter for the Council’s External Auditors who expect Members to continue to </w:t>
      </w:r>
      <w:r w:rsidR="001B3769" w:rsidRPr="003F2B4F">
        <w:rPr>
          <w:rFonts w:ascii="Calibri" w:hAnsi="Calibri"/>
          <w:sz w:val="24"/>
          <w:szCs w:val="24"/>
        </w:rPr>
        <w:t>run the Council as a viable going concern. This is particular</w:t>
      </w:r>
      <w:r w:rsidR="00602F50" w:rsidRPr="003F2B4F">
        <w:rPr>
          <w:rFonts w:ascii="Calibri" w:hAnsi="Calibri"/>
          <w:sz w:val="24"/>
          <w:szCs w:val="24"/>
        </w:rPr>
        <w:t>ly so now, that Members have to</w:t>
      </w:r>
      <w:r w:rsidR="001B3769" w:rsidRPr="003F2B4F">
        <w:rPr>
          <w:rFonts w:ascii="Calibri" w:hAnsi="Calibri"/>
          <w:sz w:val="24"/>
          <w:szCs w:val="24"/>
        </w:rPr>
        <w:t>, in effect, balance and manage two budgets – the Mainstream revenue budget and also, since April 2013, the local Council Tax benefit scheme and the impact this has in the Collection Fund. As Council Tax benefits are no longer fully funded it adds to the complexity of the Council’s operations as a Council Tax billing authority.</w:t>
      </w:r>
    </w:p>
    <w:p w:rsidR="003F2B4F" w:rsidRPr="003F2B4F" w:rsidRDefault="003F2B4F" w:rsidP="003F2B4F">
      <w:pPr>
        <w:spacing w:after="0" w:line="240" w:lineRule="auto"/>
        <w:jc w:val="both"/>
        <w:rPr>
          <w:rFonts w:ascii="Calibri" w:hAnsi="Calibri"/>
          <w:sz w:val="24"/>
          <w:szCs w:val="24"/>
        </w:rPr>
      </w:pPr>
    </w:p>
    <w:p w:rsidR="00C3597C" w:rsidRDefault="00D65949" w:rsidP="003F2B4F">
      <w:pPr>
        <w:spacing w:after="0" w:line="240" w:lineRule="auto"/>
        <w:jc w:val="both"/>
        <w:rPr>
          <w:rFonts w:ascii="Calibri" w:hAnsi="Calibri"/>
          <w:sz w:val="24"/>
          <w:szCs w:val="24"/>
        </w:rPr>
      </w:pPr>
      <w:r w:rsidRPr="003F2B4F">
        <w:rPr>
          <w:rFonts w:ascii="Calibri" w:hAnsi="Calibri"/>
          <w:sz w:val="24"/>
          <w:szCs w:val="24"/>
        </w:rPr>
        <w:t xml:space="preserve">One of the largest usable reserves relates to repairs and renewals. </w:t>
      </w:r>
      <w:r w:rsidR="00C3597C" w:rsidRPr="003F2B4F">
        <w:rPr>
          <w:rFonts w:ascii="Calibri" w:hAnsi="Calibri"/>
          <w:sz w:val="24"/>
          <w:szCs w:val="24"/>
        </w:rPr>
        <w:t>Budget is set aside each year through the revenue process to contribute to this reserve in order to smooth the timing of charges over a number of years. Each Service area contributes an element of their revenue budget to their own schemes in order to build the reserve up for when repairs are needed.</w:t>
      </w:r>
    </w:p>
    <w:p w:rsidR="003F2B4F" w:rsidRPr="003F2B4F" w:rsidRDefault="003F2B4F" w:rsidP="003F2B4F">
      <w:pPr>
        <w:spacing w:after="0" w:line="240" w:lineRule="auto"/>
        <w:jc w:val="both"/>
        <w:rPr>
          <w:rFonts w:ascii="Calibri" w:hAnsi="Calibri"/>
          <w:sz w:val="24"/>
          <w:szCs w:val="24"/>
        </w:rPr>
      </w:pPr>
    </w:p>
    <w:p w:rsidR="00C3597C" w:rsidRPr="003F2B4F" w:rsidRDefault="00C3597C" w:rsidP="003F2B4F">
      <w:pPr>
        <w:spacing w:after="0" w:line="240" w:lineRule="auto"/>
        <w:jc w:val="both"/>
        <w:rPr>
          <w:rFonts w:ascii="Calibri" w:hAnsi="Calibri"/>
          <w:sz w:val="24"/>
          <w:szCs w:val="24"/>
        </w:rPr>
      </w:pPr>
      <w:r w:rsidRPr="003F2B4F">
        <w:rPr>
          <w:rFonts w:ascii="Calibri" w:hAnsi="Calibri"/>
          <w:sz w:val="24"/>
          <w:szCs w:val="24"/>
        </w:rPr>
        <w:t>The re</w:t>
      </w:r>
      <w:r w:rsidR="007C2707" w:rsidRPr="003F2B4F">
        <w:rPr>
          <w:rFonts w:ascii="Calibri" w:hAnsi="Calibri"/>
          <w:sz w:val="24"/>
          <w:szCs w:val="24"/>
        </w:rPr>
        <w:t>serve is split into 3 sections:</w:t>
      </w:r>
    </w:p>
    <w:tbl>
      <w:tblPr>
        <w:tblStyle w:val="TableGrid"/>
        <w:tblW w:w="0" w:type="auto"/>
        <w:tblLook w:val="04A0" w:firstRow="1" w:lastRow="0" w:firstColumn="1" w:lastColumn="0" w:noHBand="0" w:noVBand="1"/>
      </w:tblPr>
      <w:tblGrid>
        <w:gridCol w:w="3227"/>
        <w:gridCol w:w="1966"/>
        <w:gridCol w:w="1294"/>
        <w:gridCol w:w="1418"/>
        <w:gridCol w:w="1842"/>
      </w:tblGrid>
      <w:tr w:rsidR="00C3597C" w:rsidRPr="003F2B4F" w:rsidTr="003F2B4F">
        <w:tc>
          <w:tcPr>
            <w:tcW w:w="3227" w:type="dxa"/>
          </w:tcPr>
          <w:p w:rsidR="00C3597C" w:rsidRPr="003F2B4F" w:rsidRDefault="00C3597C" w:rsidP="003F2B4F">
            <w:pPr>
              <w:jc w:val="both"/>
              <w:rPr>
                <w:rFonts w:ascii="Calibri" w:hAnsi="Calibri"/>
                <w:sz w:val="24"/>
                <w:szCs w:val="24"/>
              </w:rPr>
            </w:pPr>
          </w:p>
        </w:tc>
        <w:tc>
          <w:tcPr>
            <w:tcW w:w="1966" w:type="dxa"/>
          </w:tcPr>
          <w:p w:rsidR="00C3597C" w:rsidRPr="003F2B4F" w:rsidRDefault="00C34E7D" w:rsidP="003F2B4F">
            <w:pPr>
              <w:jc w:val="right"/>
              <w:rPr>
                <w:rFonts w:ascii="Calibri" w:hAnsi="Calibri"/>
                <w:sz w:val="24"/>
                <w:szCs w:val="24"/>
              </w:rPr>
            </w:pPr>
            <w:r w:rsidRPr="003F2B4F">
              <w:rPr>
                <w:rFonts w:ascii="Calibri" w:hAnsi="Calibri"/>
                <w:sz w:val="24"/>
                <w:szCs w:val="24"/>
              </w:rPr>
              <w:t>Opening Balance</w:t>
            </w:r>
            <w:r w:rsidR="00E11B70" w:rsidRPr="003F2B4F">
              <w:rPr>
                <w:rFonts w:ascii="Calibri" w:hAnsi="Calibri"/>
                <w:sz w:val="24"/>
                <w:szCs w:val="24"/>
              </w:rPr>
              <w:t xml:space="preserve"> 1 April 2018</w:t>
            </w:r>
          </w:p>
        </w:tc>
        <w:tc>
          <w:tcPr>
            <w:tcW w:w="1294" w:type="dxa"/>
          </w:tcPr>
          <w:p w:rsidR="00C3597C" w:rsidRPr="003F2B4F" w:rsidRDefault="00C34E7D" w:rsidP="003F2B4F">
            <w:pPr>
              <w:jc w:val="right"/>
              <w:rPr>
                <w:rFonts w:ascii="Calibri" w:hAnsi="Calibri"/>
                <w:sz w:val="24"/>
                <w:szCs w:val="24"/>
              </w:rPr>
            </w:pPr>
            <w:r w:rsidRPr="003F2B4F">
              <w:rPr>
                <w:rFonts w:ascii="Calibri" w:hAnsi="Calibri"/>
                <w:sz w:val="24"/>
                <w:szCs w:val="24"/>
              </w:rPr>
              <w:t>Movement in</w:t>
            </w:r>
          </w:p>
        </w:tc>
        <w:tc>
          <w:tcPr>
            <w:tcW w:w="1418" w:type="dxa"/>
          </w:tcPr>
          <w:p w:rsidR="00C3597C" w:rsidRPr="003F2B4F" w:rsidRDefault="00C34E7D" w:rsidP="003F2B4F">
            <w:pPr>
              <w:jc w:val="right"/>
              <w:rPr>
                <w:rFonts w:ascii="Calibri" w:hAnsi="Calibri"/>
                <w:sz w:val="24"/>
                <w:szCs w:val="24"/>
              </w:rPr>
            </w:pPr>
            <w:r w:rsidRPr="003F2B4F">
              <w:rPr>
                <w:rFonts w:ascii="Calibri" w:hAnsi="Calibri"/>
                <w:sz w:val="24"/>
                <w:szCs w:val="24"/>
              </w:rPr>
              <w:t>Estimated usage of</w:t>
            </w:r>
          </w:p>
        </w:tc>
        <w:tc>
          <w:tcPr>
            <w:tcW w:w="1842" w:type="dxa"/>
          </w:tcPr>
          <w:p w:rsidR="00C3597C" w:rsidRPr="003F2B4F" w:rsidRDefault="00C34E7D" w:rsidP="003F2B4F">
            <w:pPr>
              <w:jc w:val="right"/>
              <w:rPr>
                <w:rFonts w:ascii="Calibri" w:hAnsi="Calibri"/>
                <w:sz w:val="24"/>
                <w:szCs w:val="24"/>
              </w:rPr>
            </w:pPr>
            <w:r w:rsidRPr="003F2B4F">
              <w:rPr>
                <w:rFonts w:ascii="Calibri" w:hAnsi="Calibri"/>
                <w:sz w:val="24"/>
                <w:szCs w:val="24"/>
              </w:rPr>
              <w:t>Estimated Closing Balance</w:t>
            </w:r>
          </w:p>
        </w:tc>
      </w:tr>
      <w:tr w:rsidR="00C3597C" w:rsidRPr="003F2B4F" w:rsidTr="003F2B4F">
        <w:tc>
          <w:tcPr>
            <w:tcW w:w="3227" w:type="dxa"/>
          </w:tcPr>
          <w:p w:rsidR="00C3597C" w:rsidRPr="003F2B4F" w:rsidRDefault="00CD01FA" w:rsidP="003F2B4F">
            <w:pPr>
              <w:jc w:val="both"/>
              <w:rPr>
                <w:rFonts w:ascii="Calibri" w:hAnsi="Calibri"/>
                <w:sz w:val="24"/>
                <w:szCs w:val="24"/>
              </w:rPr>
            </w:pPr>
            <w:r w:rsidRPr="003F2B4F">
              <w:rPr>
                <w:rFonts w:ascii="Calibri" w:hAnsi="Calibri"/>
                <w:sz w:val="24"/>
                <w:szCs w:val="24"/>
              </w:rPr>
              <w:t>Property related</w:t>
            </w:r>
          </w:p>
        </w:tc>
        <w:tc>
          <w:tcPr>
            <w:tcW w:w="1966" w:type="dxa"/>
          </w:tcPr>
          <w:p w:rsidR="00C3597C" w:rsidRPr="003F2B4F" w:rsidRDefault="00C34E7D" w:rsidP="003F2B4F">
            <w:pPr>
              <w:jc w:val="right"/>
              <w:rPr>
                <w:rFonts w:ascii="Calibri" w:hAnsi="Calibri"/>
                <w:sz w:val="24"/>
                <w:szCs w:val="24"/>
              </w:rPr>
            </w:pPr>
            <w:r w:rsidRPr="003F2B4F">
              <w:rPr>
                <w:rFonts w:ascii="Calibri" w:hAnsi="Calibri"/>
                <w:sz w:val="24"/>
                <w:szCs w:val="24"/>
              </w:rPr>
              <w:t>£875,240</w:t>
            </w:r>
          </w:p>
        </w:tc>
        <w:tc>
          <w:tcPr>
            <w:tcW w:w="1294" w:type="dxa"/>
          </w:tcPr>
          <w:p w:rsidR="00C3597C" w:rsidRPr="003F2B4F" w:rsidRDefault="00C34E7D" w:rsidP="003F2B4F">
            <w:pPr>
              <w:jc w:val="right"/>
              <w:rPr>
                <w:rFonts w:ascii="Calibri" w:hAnsi="Calibri"/>
                <w:sz w:val="24"/>
                <w:szCs w:val="24"/>
              </w:rPr>
            </w:pPr>
            <w:r w:rsidRPr="003F2B4F">
              <w:rPr>
                <w:rFonts w:ascii="Calibri" w:hAnsi="Calibri"/>
                <w:sz w:val="24"/>
                <w:szCs w:val="24"/>
              </w:rPr>
              <w:t>£</w:t>
            </w:r>
            <w:r w:rsidR="00A8114C" w:rsidRPr="003F2B4F">
              <w:rPr>
                <w:rFonts w:ascii="Calibri" w:hAnsi="Calibri"/>
                <w:sz w:val="24"/>
                <w:szCs w:val="24"/>
              </w:rPr>
              <w:t>155,572</w:t>
            </w:r>
          </w:p>
        </w:tc>
        <w:tc>
          <w:tcPr>
            <w:tcW w:w="1418" w:type="dxa"/>
          </w:tcPr>
          <w:p w:rsidR="00C3597C" w:rsidRPr="003F2B4F" w:rsidRDefault="00142CF4" w:rsidP="003F2B4F">
            <w:pPr>
              <w:jc w:val="right"/>
              <w:rPr>
                <w:rFonts w:ascii="Calibri" w:hAnsi="Calibri"/>
                <w:sz w:val="24"/>
                <w:szCs w:val="24"/>
              </w:rPr>
            </w:pPr>
            <w:r w:rsidRPr="003F2B4F">
              <w:rPr>
                <w:rFonts w:ascii="Calibri" w:hAnsi="Calibri"/>
                <w:sz w:val="24"/>
                <w:szCs w:val="24"/>
              </w:rPr>
              <w:t>£332,688</w:t>
            </w:r>
          </w:p>
        </w:tc>
        <w:tc>
          <w:tcPr>
            <w:tcW w:w="1842" w:type="dxa"/>
          </w:tcPr>
          <w:p w:rsidR="00C3597C" w:rsidRPr="003F2B4F" w:rsidRDefault="00142CF4" w:rsidP="003F2B4F">
            <w:pPr>
              <w:jc w:val="right"/>
              <w:rPr>
                <w:rFonts w:ascii="Calibri" w:hAnsi="Calibri"/>
                <w:sz w:val="24"/>
                <w:szCs w:val="24"/>
              </w:rPr>
            </w:pPr>
            <w:r w:rsidRPr="003F2B4F">
              <w:rPr>
                <w:rFonts w:ascii="Calibri" w:hAnsi="Calibri"/>
                <w:sz w:val="24"/>
                <w:szCs w:val="24"/>
              </w:rPr>
              <w:t>£698,124</w:t>
            </w:r>
          </w:p>
        </w:tc>
      </w:tr>
      <w:tr w:rsidR="00C3597C" w:rsidRPr="003F2B4F" w:rsidTr="003F2B4F">
        <w:tc>
          <w:tcPr>
            <w:tcW w:w="3227" w:type="dxa"/>
          </w:tcPr>
          <w:p w:rsidR="00C3597C" w:rsidRPr="003F2B4F" w:rsidRDefault="00CD01FA" w:rsidP="003F2B4F">
            <w:pPr>
              <w:jc w:val="both"/>
              <w:rPr>
                <w:rFonts w:ascii="Calibri" w:hAnsi="Calibri"/>
                <w:sz w:val="24"/>
                <w:szCs w:val="24"/>
              </w:rPr>
            </w:pPr>
            <w:r w:rsidRPr="003F2B4F">
              <w:rPr>
                <w:rFonts w:ascii="Calibri" w:hAnsi="Calibri"/>
                <w:sz w:val="24"/>
                <w:szCs w:val="24"/>
              </w:rPr>
              <w:t>Grounds Maintenance related</w:t>
            </w:r>
          </w:p>
        </w:tc>
        <w:tc>
          <w:tcPr>
            <w:tcW w:w="1966" w:type="dxa"/>
          </w:tcPr>
          <w:p w:rsidR="00C3597C" w:rsidRPr="003F2B4F" w:rsidRDefault="00C34E7D" w:rsidP="003F2B4F">
            <w:pPr>
              <w:jc w:val="right"/>
              <w:rPr>
                <w:rFonts w:ascii="Calibri" w:hAnsi="Calibri"/>
                <w:sz w:val="24"/>
                <w:szCs w:val="24"/>
              </w:rPr>
            </w:pPr>
            <w:r w:rsidRPr="003F2B4F">
              <w:rPr>
                <w:rFonts w:ascii="Calibri" w:hAnsi="Calibri"/>
                <w:sz w:val="24"/>
                <w:szCs w:val="24"/>
              </w:rPr>
              <w:t>£325,541</w:t>
            </w:r>
          </w:p>
        </w:tc>
        <w:tc>
          <w:tcPr>
            <w:tcW w:w="1294" w:type="dxa"/>
          </w:tcPr>
          <w:p w:rsidR="00C3597C" w:rsidRPr="003F2B4F" w:rsidRDefault="00A8114C" w:rsidP="003F2B4F">
            <w:pPr>
              <w:jc w:val="right"/>
              <w:rPr>
                <w:rFonts w:ascii="Calibri" w:hAnsi="Calibri"/>
                <w:sz w:val="24"/>
                <w:szCs w:val="24"/>
              </w:rPr>
            </w:pPr>
            <w:r w:rsidRPr="003F2B4F">
              <w:rPr>
                <w:rFonts w:ascii="Calibri" w:hAnsi="Calibri"/>
                <w:sz w:val="24"/>
                <w:szCs w:val="24"/>
              </w:rPr>
              <w:t>£41,377</w:t>
            </w:r>
          </w:p>
        </w:tc>
        <w:tc>
          <w:tcPr>
            <w:tcW w:w="1418" w:type="dxa"/>
          </w:tcPr>
          <w:p w:rsidR="00C3597C" w:rsidRPr="003F2B4F" w:rsidRDefault="00142CF4" w:rsidP="003F2B4F">
            <w:pPr>
              <w:jc w:val="right"/>
              <w:rPr>
                <w:rFonts w:ascii="Calibri" w:hAnsi="Calibri"/>
                <w:sz w:val="24"/>
                <w:szCs w:val="24"/>
              </w:rPr>
            </w:pPr>
            <w:r w:rsidRPr="003F2B4F">
              <w:rPr>
                <w:rFonts w:ascii="Calibri" w:hAnsi="Calibri"/>
                <w:sz w:val="24"/>
                <w:szCs w:val="24"/>
              </w:rPr>
              <w:t>£148,366</w:t>
            </w:r>
          </w:p>
        </w:tc>
        <w:tc>
          <w:tcPr>
            <w:tcW w:w="1842" w:type="dxa"/>
          </w:tcPr>
          <w:p w:rsidR="00C3597C" w:rsidRPr="003F2B4F" w:rsidRDefault="00142CF4" w:rsidP="003F2B4F">
            <w:pPr>
              <w:jc w:val="right"/>
              <w:rPr>
                <w:rFonts w:ascii="Calibri" w:hAnsi="Calibri"/>
                <w:sz w:val="24"/>
                <w:szCs w:val="24"/>
              </w:rPr>
            </w:pPr>
            <w:r w:rsidRPr="003F2B4F">
              <w:rPr>
                <w:rFonts w:ascii="Calibri" w:hAnsi="Calibri"/>
                <w:sz w:val="24"/>
                <w:szCs w:val="24"/>
              </w:rPr>
              <w:t>£218,552</w:t>
            </w:r>
          </w:p>
        </w:tc>
      </w:tr>
      <w:tr w:rsidR="00C3597C" w:rsidRPr="003F2B4F" w:rsidTr="003F2B4F">
        <w:tc>
          <w:tcPr>
            <w:tcW w:w="3227" w:type="dxa"/>
          </w:tcPr>
          <w:p w:rsidR="00C3597C" w:rsidRPr="003F2B4F" w:rsidRDefault="00CD01FA" w:rsidP="003F2B4F">
            <w:pPr>
              <w:jc w:val="both"/>
              <w:rPr>
                <w:rFonts w:ascii="Calibri" w:hAnsi="Calibri"/>
                <w:sz w:val="24"/>
                <w:szCs w:val="24"/>
              </w:rPr>
            </w:pPr>
            <w:r w:rsidRPr="003F2B4F">
              <w:rPr>
                <w:rFonts w:ascii="Calibri" w:hAnsi="Calibri"/>
                <w:sz w:val="24"/>
                <w:szCs w:val="24"/>
              </w:rPr>
              <w:t>Corporate related</w:t>
            </w:r>
          </w:p>
        </w:tc>
        <w:tc>
          <w:tcPr>
            <w:tcW w:w="1966" w:type="dxa"/>
          </w:tcPr>
          <w:p w:rsidR="00C3597C" w:rsidRPr="003F2B4F" w:rsidRDefault="00C34E7D" w:rsidP="003F2B4F">
            <w:pPr>
              <w:jc w:val="right"/>
              <w:rPr>
                <w:rFonts w:ascii="Calibri" w:hAnsi="Calibri"/>
                <w:sz w:val="24"/>
                <w:szCs w:val="24"/>
              </w:rPr>
            </w:pPr>
            <w:r w:rsidRPr="003F2B4F">
              <w:rPr>
                <w:rFonts w:ascii="Calibri" w:hAnsi="Calibri"/>
                <w:sz w:val="24"/>
                <w:szCs w:val="24"/>
              </w:rPr>
              <w:t>£1,210,406</w:t>
            </w:r>
          </w:p>
        </w:tc>
        <w:tc>
          <w:tcPr>
            <w:tcW w:w="1294" w:type="dxa"/>
          </w:tcPr>
          <w:p w:rsidR="00C3597C" w:rsidRPr="003F2B4F" w:rsidRDefault="00A8114C" w:rsidP="003F2B4F">
            <w:pPr>
              <w:jc w:val="right"/>
              <w:rPr>
                <w:rFonts w:ascii="Calibri" w:hAnsi="Calibri"/>
                <w:sz w:val="24"/>
                <w:szCs w:val="24"/>
              </w:rPr>
            </w:pPr>
            <w:r w:rsidRPr="003F2B4F">
              <w:rPr>
                <w:rFonts w:ascii="Calibri" w:hAnsi="Calibri"/>
                <w:sz w:val="24"/>
                <w:szCs w:val="24"/>
              </w:rPr>
              <w:t>£108,140</w:t>
            </w:r>
          </w:p>
        </w:tc>
        <w:tc>
          <w:tcPr>
            <w:tcW w:w="1418" w:type="dxa"/>
          </w:tcPr>
          <w:p w:rsidR="00C3597C" w:rsidRPr="003F2B4F" w:rsidRDefault="00142CF4" w:rsidP="003F2B4F">
            <w:pPr>
              <w:jc w:val="right"/>
              <w:rPr>
                <w:rFonts w:ascii="Calibri" w:hAnsi="Calibri"/>
                <w:sz w:val="24"/>
                <w:szCs w:val="24"/>
              </w:rPr>
            </w:pPr>
            <w:r w:rsidRPr="003F2B4F">
              <w:rPr>
                <w:rFonts w:ascii="Calibri" w:hAnsi="Calibri"/>
                <w:sz w:val="24"/>
                <w:szCs w:val="24"/>
              </w:rPr>
              <w:t>£436,851</w:t>
            </w:r>
          </w:p>
        </w:tc>
        <w:tc>
          <w:tcPr>
            <w:tcW w:w="1842" w:type="dxa"/>
          </w:tcPr>
          <w:p w:rsidR="00C3597C" w:rsidRPr="003F2B4F" w:rsidRDefault="00142CF4" w:rsidP="003F2B4F">
            <w:pPr>
              <w:jc w:val="right"/>
              <w:rPr>
                <w:rFonts w:ascii="Calibri" w:hAnsi="Calibri"/>
                <w:sz w:val="24"/>
                <w:szCs w:val="24"/>
              </w:rPr>
            </w:pPr>
            <w:r w:rsidRPr="003F2B4F">
              <w:rPr>
                <w:rFonts w:ascii="Calibri" w:hAnsi="Calibri"/>
                <w:sz w:val="24"/>
                <w:szCs w:val="24"/>
              </w:rPr>
              <w:t>£881,695</w:t>
            </w:r>
          </w:p>
        </w:tc>
      </w:tr>
      <w:tr w:rsidR="00C3597C" w:rsidRPr="003F2B4F" w:rsidTr="003F2B4F">
        <w:tc>
          <w:tcPr>
            <w:tcW w:w="3227" w:type="dxa"/>
          </w:tcPr>
          <w:p w:rsidR="00C3597C" w:rsidRPr="003F2B4F" w:rsidRDefault="00CD01FA" w:rsidP="003F2B4F">
            <w:pPr>
              <w:jc w:val="both"/>
              <w:rPr>
                <w:rFonts w:ascii="Calibri" w:hAnsi="Calibri"/>
                <w:b/>
                <w:sz w:val="24"/>
                <w:szCs w:val="24"/>
              </w:rPr>
            </w:pPr>
            <w:r w:rsidRPr="003F2B4F">
              <w:rPr>
                <w:rFonts w:ascii="Calibri" w:hAnsi="Calibri"/>
                <w:b/>
                <w:sz w:val="24"/>
                <w:szCs w:val="24"/>
              </w:rPr>
              <w:t>Totals:</w:t>
            </w:r>
          </w:p>
        </w:tc>
        <w:tc>
          <w:tcPr>
            <w:tcW w:w="1966" w:type="dxa"/>
          </w:tcPr>
          <w:p w:rsidR="00C3597C" w:rsidRPr="003F2B4F" w:rsidRDefault="00C34E7D" w:rsidP="003F2B4F">
            <w:pPr>
              <w:jc w:val="right"/>
              <w:rPr>
                <w:rFonts w:ascii="Calibri" w:hAnsi="Calibri"/>
                <w:b/>
                <w:sz w:val="24"/>
                <w:szCs w:val="24"/>
              </w:rPr>
            </w:pPr>
            <w:r w:rsidRPr="003F2B4F">
              <w:rPr>
                <w:rFonts w:ascii="Calibri" w:hAnsi="Calibri"/>
                <w:b/>
                <w:sz w:val="24"/>
                <w:szCs w:val="24"/>
              </w:rPr>
              <w:t>£2,411,187</w:t>
            </w:r>
          </w:p>
        </w:tc>
        <w:tc>
          <w:tcPr>
            <w:tcW w:w="1294" w:type="dxa"/>
          </w:tcPr>
          <w:p w:rsidR="00C3597C" w:rsidRPr="003F2B4F" w:rsidRDefault="00142CF4" w:rsidP="003F2B4F">
            <w:pPr>
              <w:jc w:val="right"/>
              <w:rPr>
                <w:rFonts w:ascii="Calibri" w:hAnsi="Calibri"/>
                <w:b/>
                <w:sz w:val="24"/>
                <w:szCs w:val="24"/>
              </w:rPr>
            </w:pPr>
            <w:r w:rsidRPr="003F2B4F">
              <w:rPr>
                <w:rFonts w:ascii="Calibri" w:hAnsi="Calibri"/>
                <w:b/>
                <w:sz w:val="24"/>
                <w:szCs w:val="24"/>
              </w:rPr>
              <w:t>£305,089</w:t>
            </w:r>
          </w:p>
        </w:tc>
        <w:tc>
          <w:tcPr>
            <w:tcW w:w="1418" w:type="dxa"/>
          </w:tcPr>
          <w:p w:rsidR="00C3597C" w:rsidRPr="003F2B4F" w:rsidRDefault="00142CF4" w:rsidP="003F2B4F">
            <w:pPr>
              <w:jc w:val="right"/>
              <w:rPr>
                <w:rFonts w:ascii="Calibri" w:hAnsi="Calibri"/>
                <w:b/>
                <w:sz w:val="24"/>
                <w:szCs w:val="24"/>
              </w:rPr>
            </w:pPr>
            <w:r w:rsidRPr="003F2B4F">
              <w:rPr>
                <w:rFonts w:ascii="Calibri" w:hAnsi="Calibri"/>
                <w:b/>
                <w:sz w:val="24"/>
                <w:szCs w:val="24"/>
              </w:rPr>
              <w:t>£917,905</w:t>
            </w:r>
          </w:p>
        </w:tc>
        <w:tc>
          <w:tcPr>
            <w:tcW w:w="1842" w:type="dxa"/>
          </w:tcPr>
          <w:p w:rsidR="00C3597C" w:rsidRPr="003F2B4F" w:rsidRDefault="00142CF4" w:rsidP="003F2B4F">
            <w:pPr>
              <w:jc w:val="right"/>
              <w:rPr>
                <w:rFonts w:ascii="Calibri" w:hAnsi="Calibri"/>
                <w:b/>
                <w:sz w:val="24"/>
                <w:szCs w:val="24"/>
              </w:rPr>
            </w:pPr>
            <w:r w:rsidRPr="003F2B4F">
              <w:rPr>
                <w:rFonts w:ascii="Calibri" w:hAnsi="Calibri"/>
                <w:b/>
                <w:sz w:val="24"/>
                <w:szCs w:val="24"/>
              </w:rPr>
              <w:t>£1,798,371</w:t>
            </w:r>
          </w:p>
        </w:tc>
      </w:tr>
    </w:tbl>
    <w:p w:rsidR="003F2B4F" w:rsidRPr="00742A98" w:rsidRDefault="003F2B4F" w:rsidP="003F2B4F">
      <w:pPr>
        <w:spacing w:after="0" w:line="240" w:lineRule="auto"/>
        <w:jc w:val="both"/>
        <w:rPr>
          <w:rFonts w:ascii="Calibri" w:hAnsi="Calibri"/>
          <w:sz w:val="16"/>
          <w:szCs w:val="16"/>
        </w:rPr>
      </w:pPr>
    </w:p>
    <w:p w:rsidR="00D65949" w:rsidRPr="003F2B4F" w:rsidRDefault="00C3597C" w:rsidP="003F2B4F">
      <w:pPr>
        <w:spacing w:after="0" w:line="240" w:lineRule="auto"/>
        <w:jc w:val="both"/>
        <w:rPr>
          <w:rFonts w:ascii="Calibri" w:hAnsi="Calibri"/>
          <w:sz w:val="24"/>
          <w:szCs w:val="24"/>
        </w:rPr>
      </w:pPr>
      <w:r w:rsidRPr="003F2B4F">
        <w:rPr>
          <w:rFonts w:ascii="Calibri" w:hAnsi="Calibri"/>
          <w:sz w:val="24"/>
          <w:szCs w:val="24"/>
        </w:rPr>
        <w:t>During 2018/19 £0.305m will be set aside from various service areas in order to contribute to the overall re</w:t>
      </w:r>
      <w:r w:rsidR="00142CF4" w:rsidRPr="003F2B4F">
        <w:rPr>
          <w:rFonts w:ascii="Calibri" w:hAnsi="Calibri"/>
          <w:sz w:val="24"/>
          <w:szCs w:val="24"/>
        </w:rPr>
        <w:t>serve. It is proposed that £0.918</w:t>
      </w:r>
      <w:r w:rsidRPr="003F2B4F">
        <w:rPr>
          <w:rFonts w:ascii="Calibri" w:hAnsi="Calibri"/>
          <w:sz w:val="24"/>
          <w:szCs w:val="24"/>
        </w:rPr>
        <w:t xml:space="preserve">m is to be utilised from the reserve </w:t>
      </w:r>
      <w:r w:rsidR="00A8114C" w:rsidRPr="003F2B4F">
        <w:rPr>
          <w:rFonts w:ascii="Calibri" w:hAnsi="Calibri"/>
          <w:sz w:val="24"/>
          <w:szCs w:val="24"/>
        </w:rPr>
        <w:t xml:space="preserve">during the course of the financial year. </w:t>
      </w:r>
    </w:p>
    <w:p w:rsidR="003F2B4F" w:rsidRPr="00742A98" w:rsidRDefault="003F2B4F" w:rsidP="003F2B4F">
      <w:pPr>
        <w:spacing w:after="0" w:line="240" w:lineRule="auto"/>
        <w:jc w:val="both"/>
        <w:rPr>
          <w:rFonts w:ascii="Calibri" w:hAnsi="Calibri"/>
          <w:sz w:val="16"/>
          <w:szCs w:val="16"/>
        </w:rPr>
      </w:pPr>
    </w:p>
    <w:p w:rsidR="00A8114C" w:rsidRDefault="00A8114C" w:rsidP="003F2B4F">
      <w:pPr>
        <w:spacing w:after="0" w:line="240" w:lineRule="auto"/>
        <w:jc w:val="both"/>
        <w:rPr>
          <w:rFonts w:ascii="Calibri" w:hAnsi="Calibri"/>
          <w:sz w:val="24"/>
          <w:szCs w:val="24"/>
        </w:rPr>
      </w:pPr>
      <w:r w:rsidRPr="003F2B4F">
        <w:rPr>
          <w:rFonts w:ascii="Calibri" w:hAnsi="Calibri"/>
          <w:sz w:val="24"/>
          <w:szCs w:val="24"/>
        </w:rPr>
        <w:t xml:space="preserve">A review of the balance held against the major headings above has been </w:t>
      </w:r>
      <w:r w:rsidR="00142CF4" w:rsidRPr="003F2B4F">
        <w:rPr>
          <w:rFonts w:ascii="Calibri" w:hAnsi="Calibri"/>
          <w:sz w:val="24"/>
          <w:szCs w:val="24"/>
        </w:rPr>
        <w:t xml:space="preserve">completed and potentially there may be a requirement to increase contributions by approximately £40k per annum in order to ensure all schemes are completed within their estimated </w:t>
      </w:r>
      <w:r w:rsidR="006A2A88" w:rsidRPr="003F2B4F">
        <w:rPr>
          <w:rFonts w:ascii="Calibri" w:hAnsi="Calibri"/>
          <w:sz w:val="24"/>
          <w:szCs w:val="24"/>
        </w:rPr>
        <w:t>timeframes. Schemes are constantly reviewed to ensure that they are not completed where works are not necessary to be carried out, hence where funding can be redirected to schemes that are underfunded at the point the works are necessary, this will be done. Regular reviews of this reserve are made to ensure that its balance is appropriate.</w:t>
      </w:r>
      <w:r w:rsidR="00142CF4" w:rsidRPr="003F2B4F">
        <w:rPr>
          <w:rFonts w:ascii="Calibri" w:hAnsi="Calibri"/>
          <w:sz w:val="24"/>
          <w:szCs w:val="24"/>
        </w:rPr>
        <w:t xml:space="preserve"> </w:t>
      </w:r>
    </w:p>
    <w:p w:rsidR="003F2B4F" w:rsidRPr="003F2B4F" w:rsidRDefault="003F2B4F" w:rsidP="003F2B4F">
      <w:pPr>
        <w:spacing w:after="0" w:line="240" w:lineRule="auto"/>
        <w:jc w:val="both"/>
        <w:rPr>
          <w:rFonts w:ascii="Calibri" w:hAnsi="Calibri"/>
          <w:sz w:val="16"/>
          <w:szCs w:val="16"/>
        </w:rPr>
      </w:pPr>
    </w:p>
    <w:p w:rsidR="00820AD0" w:rsidRPr="003F2B4F" w:rsidRDefault="00F3002A" w:rsidP="003F2B4F">
      <w:pPr>
        <w:spacing w:after="0" w:line="240" w:lineRule="auto"/>
        <w:jc w:val="both"/>
        <w:rPr>
          <w:rFonts w:ascii="Calibri" w:hAnsi="Calibri"/>
          <w:sz w:val="24"/>
          <w:szCs w:val="24"/>
        </w:rPr>
      </w:pPr>
      <w:r w:rsidRPr="003F2B4F">
        <w:rPr>
          <w:rFonts w:ascii="Calibri" w:hAnsi="Calibri"/>
          <w:b/>
          <w:sz w:val="24"/>
          <w:szCs w:val="24"/>
        </w:rPr>
        <w:lastRenderedPageBreak/>
        <w:t>1.9</w:t>
      </w:r>
      <w:r w:rsidR="0078035F" w:rsidRPr="003F2B4F">
        <w:rPr>
          <w:rFonts w:ascii="Calibri" w:hAnsi="Calibri"/>
          <w:sz w:val="24"/>
          <w:szCs w:val="24"/>
        </w:rPr>
        <w:tab/>
      </w:r>
      <w:r w:rsidR="00C035DD" w:rsidRPr="003F2B4F">
        <w:rPr>
          <w:rFonts w:ascii="Calibri" w:hAnsi="Calibri"/>
          <w:b/>
          <w:sz w:val="24"/>
          <w:szCs w:val="24"/>
          <w:u w:val="single"/>
        </w:rPr>
        <w:t>Assumptions made within the MTFP</w:t>
      </w:r>
    </w:p>
    <w:p w:rsidR="003F2B4F" w:rsidRPr="003F2B4F" w:rsidRDefault="003F2B4F" w:rsidP="003F2B4F">
      <w:pPr>
        <w:spacing w:after="0" w:line="240" w:lineRule="auto"/>
        <w:jc w:val="both"/>
        <w:rPr>
          <w:rFonts w:ascii="Calibri" w:hAnsi="Calibri"/>
          <w:sz w:val="16"/>
          <w:szCs w:val="16"/>
        </w:rPr>
      </w:pPr>
    </w:p>
    <w:p w:rsidR="00520EF9" w:rsidRDefault="00520EF9" w:rsidP="003F2B4F">
      <w:pPr>
        <w:spacing w:after="0" w:line="240" w:lineRule="auto"/>
        <w:jc w:val="both"/>
        <w:rPr>
          <w:rFonts w:ascii="Calibri" w:hAnsi="Calibri"/>
          <w:sz w:val="24"/>
          <w:szCs w:val="24"/>
        </w:rPr>
      </w:pPr>
      <w:r w:rsidRPr="003F2B4F">
        <w:rPr>
          <w:rFonts w:ascii="Calibri" w:hAnsi="Calibri"/>
          <w:sz w:val="24"/>
          <w:szCs w:val="24"/>
        </w:rPr>
        <w:t>Finance officers worked with budget holders at a granular level i</w:t>
      </w:r>
      <w:r w:rsidR="006A59B0" w:rsidRPr="003F2B4F">
        <w:rPr>
          <w:rFonts w:ascii="Calibri" w:hAnsi="Calibri"/>
          <w:sz w:val="24"/>
          <w:szCs w:val="24"/>
        </w:rPr>
        <w:t>n order to develop both the 2019</w:t>
      </w:r>
      <w:r w:rsidRPr="003F2B4F">
        <w:rPr>
          <w:rFonts w:ascii="Calibri" w:hAnsi="Calibri"/>
          <w:sz w:val="24"/>
          <w:szCs w:val="24"/>
        </w:rPr>
        <w:t>/</w:t>
      </w:r>
      <w:r w:rsidR="006A59B0" w:rsidRPr="003F2B4F">
        <w:rPr>
          <w:rFonts w:ascii="Calibri" w:hAnsi="Calibri"/>
          <w:sz w:val="24"/>
          <w:szCs w:val="24"/>
        </w:rPr>
        <w:t>20</w:t>
      </w:r>
      <w:r w:rsidRPr="003F2B4F">
        <w:rPr>
          <w:rFonts w:ascii="Calibri" w:hAnsi="Calibri"/>
          <w:sz w:val="24"/>
          <w:szCs w:val="24"/>
        </w:rPr>
        <w:t xml:space="preserve"> and the future forecast budgets in order to build these estimates, but used various assumptions to arrive at this.</w:t>
      </w:r>
    </w:p>
    <w:p w:rsidR="003F2B4F" w:rsidRPr="003F2B4F" w:rsidRDefault="003F2B4F" w:rsidP="003F2B4F">
      <w:pPr>
        <w:spacing w:after="0" w:line="240" w:lineRule="auto"/>
        <w:jc w:val="both"/>
        <w:rPr>
          <w:rFonts w:ascii="Calibri" w:hAnsi="Calibri"/>
          <w:sz w:val="24"/>
          <w:szCs w:val="24"/>
        </w:rPr>
      </w:pPr>
    </w:p>
    <w:p w:rsidR="00520EF9" w:rsidRDefault="006A59B0" w:rsidP="003F2B4F">
      <w:pPr>
        <w:spacing w:after="0" w:line="240" w:lineRule="auto"/>
        <w:jc w:val="both"/>
        <w:rPr>
          <w:rFonts w:ascii="Calibri" w:hAnsi="Calibri"/>
          <w:sz w:val="24"/>
          <w:szCs w:val="24"/>
        </w:rPr>
      </w:pPr>
      <w:r w:rsidRPr="003F2B4F">
        <w:rPr>
          <w:rFonts w:ascii="Calibri" w:hAnsi="Calibri" w:cs="Arial"/>
          <w:spacing w:val="-3"/>
          <w:sz w:val="24"/>
          <w:szCs w:val="24"/>
        </w:rPr>
        <w:t>A 2% increase in wages and s</w:t>
      </w:r>
      <w:r w:rsidR="00E11B70" w:rsidRPr="003F2B4F">
        <w:rPr>
          <w:rFonts w:ascii="Calibri" w:hAnsi="Calibri" w:cs="Arial"/>
          <w:spacing w:val="-3"/>
          <w:sz w:val="24"/>
          <w:szCs w:val="24"/>
        </w:rPr>
        <w:t>alaries will be assumed for 2020/21</w:t>
      </w:r>
      <w:r w:rsidRPr="003F2B4F">
        <w:rPr>
          <w:rFonts w:ascii="Calibri" w:hAnsi="Calibri" w:cs="Arial"/>
          <w:spacing w:val="-3"/>
          <w:sz w:val="24"/>
          <w:szCs w:val="24"/>
        </w:rPr>
        <w:t xml:space="preserve"> and future financial years</w:t>
      </w:r>
      <w:r w:rsidRPr="003F2B4F">
        <w:rPr>
          <w:rFonts w:ascii="Calibri" w:hAnsi="Calibri"/>
          <w:spacing w:val="-3"/>
          <w:sz w:val="24"/>
          <w:szCs w:val="24"/>
        </w:rPr>
        <w:t>.  This is in line with the agreement which was reached in early April 2018 between the National Employers and the NJC Trade Unions side on rates of pay applicable from 1 April 2018 and 1 April 2019</w:t>
      </w:r>
      <w:r w:rsidR="00016F6F" w:rsidRPr="003F2B4F">
        <w:rPr>
          <w:rFonts w:ascii="Calibri" w:hAnsi="Calibri"/>
          <w:sz w:val="24"/>
          <w:szCs w:val="24"/>
        </w:rPr>
        <w:t>.</w:t>
      </w:r>
      <w:r w:rsidRPr="003F2B4F">
        <w:rPr>
          <w:rFonts w:ascii="Calibri" w:hAnsi="Calibri"/>
          <w:sz w:val="24"/>
          <w:szCs w:val="24"/>
        </w:rPr>
        <w:t xml:space="preserve"> </w:t>
      </w:r>
    </w:p>
    <w:p w:rsidR="003F2B4F" w:rsidRPr="003F2B4F" w:rsidRDefault="003F2B4F" w:rsidP="003F2B4F">
      <w:pPr>
        <w:spacing w:after="0" w:line="240" w:lineRule="auto"/>
        <w:jc w:val="both"/>
        <w:rPr>
          <w:rFonts w:ascii="Calibri" w:hAnsi="Calibri"/>
          <w:sz w:val="24"/>
          <w:szCs w:val="24"/>
        </w:rPr>
      </w:pPr>
    </w:p>
    <w:p w:rsidR="003E777F" w:rsidRDefault="00016F6F" w:rsidP="003F2B4F">
      <w:pPr>
        <w:spacing w:after="0" w:line="240" w:lineRule="auto"/>
        <w:jc w:val="both"/>
        <w:rPr>
          <w:rFonts w:ascii="Calibri" w:hAnsi="Calibri"/>
          <w:sz w:val="24"/>
          <w:szCs w:val="24"/>
        </w:rPr>
      </w:pPr>
      <w:r w:rsidRPr="003F2B4F">
        <w:rPr>
          <w:rFonts w:ascii="Calibri" w:hAnsi="Calibri"/>
          <w:sz w:val="24"/>
          <w:szCs w:val="24"/>
        </w:rPr>
        <w:t xml:space="preserve">An estimate of inflation equivalent to 3% was used </w:t>
      </w:r>
      <w:r w:rsidR="003E777F" w:rsidRPr="003F2B4F">
        <w:rPr>
          <w:rFonts w:ascii="Calibri" w:hAnsi="Calibri"/>
          <w:sz w:val="24"/>
          <w:szCs w:val="24"/>
        </w:rPr>
        <w:t>in all years in order to uprate all non-pay income and expenditure. This was considered prudent after looking at forward projections of RPI by the Office of Budget Responsibility, who suggested that RPI will increase by 3% per annum on-going.</w:t>
      </w:r>
      <w:r w:rsidR="009D59F0" w:rsidRPr="003F2B4F">
        <w:rPr>
          <w:rFonts w:ascii="Calibri" w:hAnsi="Calibri"/>
          <w:sz w:val="24"/>
          <w:szCs w:val="24"/>
        </w:rPr>
        <w:t xml:space="preserve"> </w:t>
      </w:r>
      <w:r w:rsidR="003E777F" w:rsidRPr="003F2B4F">
        <w:rPr>
          <w:rFonts w:ascii="Calibri" w:hAnsi="Calibri"/>
          <w:sz w:val="24"/>
          <w:szCs w:val="24"/>
        </w:rPr>
        <w:t xml:space="preserve"> This estimate therefore has been used in order to forecast the additional year included in this MTFP (2022/23).</w:t>
      </w:r>
    </w:p>
    <w:p w:rsidR="003F2B4F" w:rsidRPr="003F2B4F" w:rsidRDefault="003F2B4F" w:rsidP="003F2B4F">
      <w:pPr>
        <w:spacing w:after="0" w:line="240" w:lineRule="auto"/>
        <w:jc w:val="both"/>
        <w:rPr>
          <w:rFonts w:ascii="Calibri" w:hAnsi="Calibri"/>
          <w:sz w:val="24"/>
          <w:szCs w:val="24"/>
        </w:rPr>
      </w:pPr>
    </w:p>
    <w:p w:rsidR="00FF3041" w:rsidRDefault="00FF3041" w:rsidP="003F2B4F">
      <w:pPr>
        <w:spacing w:after="0" w:line="240" w:lineRule="auto"/>
        <w:jc w:val="both"/>
        <w:rPr>
          <w:rFonts w:ascii="Calibri" w:hAnsi="Calibri"/>
          <w:sz w:val="24"/>
          <w:szCs w:val="24"/>
        </w:rPr>
      </w:pPr>
      <w:r w:rsidRPr="003F2B4F">
        <w:rPr>
          <w:rFonts w:ascii="Calibri" w:hAnsi="Calibri"/>
          <w:sz w:val="24"/>
          <w:szCs w:val="24"/>
        </w:rPr>
        <w:t xml:space="preserve">Estimates and Debt charges (the charge to revenue for the purchase/creation of a fixed asset where no capital resources were available to finance at the point of </w:t>
      </w:r>
      <w:r w:rsidR="009D59F0" w:rsidRPr="003F2B4F">
        <w:rPr>
          <w:rFonts w:ascii="Calibri" w:hAnsi="Calibri"/>
          <w:sz w:val="24"/>
          <w:szCs w:val="24"/>
        </w:rPr>
        <w:t xml:space="preserve">creation/purchase of the asset) are in line with the approved MRP policy and the Capital Programme </w:t>
      </w:r>
      <w:r w:rsidR="006A59B0" w:rsidRPr="003F2B4F">
        <w:rPr>
          <w:rFonts w:ascii="Calibri" w:hAnsi="Calibri"/>
          <w:sz w:val="24"/>
          <w:szCs w:val="24"/>
        </w:rPr>
        <w:t>on this agenda</w:t>
      </w:r>
      <w:r w:rsidR="009D59F0" w:rsidRPr="003F2B4F">
        <w:rPr>
          <w:rFonts w:ascii="Calibri" w:hAnsi="Calibri"/>
          <w:sz w:val="24"/>
          <w:szCs w:val="24"/>
        </w:rPr>
        <w:t>.</w:t>
      </w:r>
    </w:p>
    <w:p w:rsidR="003F2B4F" w:rsidRPr="003F2B4F" w:rsidRDefault="003F2B4F" w:rsidP="003F2B4F">
      <w:pPr>
        <w:spacing w:after="0" w:line="240" w:lineRule="auto"/>
        <w:jc w:val="both"/>
        <w:rPr>
          <w:rFonts w:ascii="Calibri" w:hAnsi="Calibri"/>
          <w:sz w:val="24"/>
          <w:szCs w:val="24"/>
        </w:rPr>
      </w:pPr>
    </w:p>
    <w:p w:rsidR="00820AD0" w:rsidRPr="003F2B4F" w:rsidRDefault="00F3002A" w:rsidP="003F2B4F">
      <w:pPr>
        <w:spacing w:after="0" w:line="240" w:lineRule="auto"/>
        <w:jc w:val="both"/>
        <w:rPr>
          <w:rFonts w:ascii="Calibri" w:hAnsi="Calibri"/>
          <w:b/>
          <w:sz w:val="24"/>
          <w:szCs w:val="24"/>
          <w:u w:val="single"/>
        </w:rPr>
      </w:pPr>
      <w:r w:rsidRPr="003F2B4F">
        <w:rPr>
          <w:rFonts w:ascii="Calibri" w:hAnsi="Calibri"/>
          <w:b/>
          <w:sz w:val="24"/>
          <w:szCs w:val="24"/>
        </w:rPr>
        <w:t>1.10</w:t>
      </w:r>
      <w:r w:rsidR="0078035F" w:rsidRPr="003F2B4F">
        <w:rPr>
          <w:rFonts w:ascii="Calibri" w:hAnsi="Calibri"/>
          <w:b/>
          <w:sz w:val="24"/>
          <w:szCs w:val="24"/>
        </w:rPr>
        <w:tab/>
      </w:r>
      <w:r w:rsidR="00820AD0" w:rsidRPr="003F2B4F">
        <w:rPr>
          <w:rFonts w:ascii="Calibri" w:hAnsi="Calibri"/>
          <w:b/>
          <w:sz w:val="24"/>
          <w:szCs w:val="24"/>
          <w:u w:val="single"/>
        </w:rPr>
        <w:t>Proposed strategy for bridging the funding gap</w:t>
      </w:r>
    </w:p>
    <w:p w:rsidR="003F2B4F" w:rsidRDefault="003F2B4F" w:rsidP="003F2B4F">
      <w:pPr>
        <w:spacing w:after="0" w:line="240" w:lineRule="auto"/>
        <w:jc w:val="both"/>
        <w:rPr>
          <w:rFonts w:ascii="Calibri" w:hAnsi="Calibri"/>
          <w:sz w:val="24"/>
          <w:szCs w:val="24"/>
        </w:rPr>
      </w:pPr>
    </w:p>
    <w:p w:rsidR="00706767" w:rsidRDefault="00715B14" w:rsidP="003F2B4F">
      <w:pPr>
        <w:spacing w:after="0" w:line="240" w:lineRule="auto"/>
        <w:jc w:val="both"/>
        <w:rPr>
          <w:rFonts w:ascii="Calibri" w:hAnsi="Calibri"/>
          <w:sz w:val="24"/>
          <w:szCs w:val="24"/>
        </w:rPr>
      </w:pPr>
      <w:r w:rsidRPr="003F2B4F">
        <w:rPr>
          <w:rFonts w:ascii="Calibri" w:hAnsi="Calibri"/>
          <w:sz w:val="24"/>
          <w:szCs w:val="24"/>
        </w:rPr>
        <w:t xml:space="preserve">The forecast funding gap for the term of this MTFP is shown in section 1.1 of the MTFP. The Council has a good track record in dealing with successive central government funding reductions. </w:t>
      </w:r>
      <w:r w:rsidR="00706767" w:rsidRPr="003F2B4F">
        <w:rPr>
          <w:rFonts w:ascii="Calibri" w:hAnsi="Calibri"/>
          <w:sz w:val="24"/>
          <w:szCs w:val="24"/>
        </w:rPr>
        <w:t>Since 2010 the Council</w:t>
      </w:r>
      <w:r w:rsidR="008D40F0" w:rsidRPr="003F2B4F">
        <w:rPr>
          <w:rFonts w:ascii="Calibri" w:hAnsi="Calibri"/>
          <w:sz w:val="24"/>
          <w:szCs w:val="24"/>
        </w:rPr>
        <w:t xml:space="preserve"> has had to re-engineer its business processes in order to make substantial savings due to the reduction in Government Grant. Further savings that need to be made are becoming increasingly difficult to identify and deliver, but it essential that the Council continues to identify areas where costs can be reduced or income increased to close the budget gap.</w:t>
      </w:r>
      <w:r w:rsidR="00533524" w:rsidRPr="003F2B4F">
        <w:rPr>
          <w:rFonts w:ascii="Calibri" w:hAnsi="Calibri"/>
          <w:sz w:val="24"/>
          <w:szCs w:val="24"/>
        </w:rPr>
        <w:t xml:space="preserve"> The level of reduction in Government grant over the last 4 years has been:</w:t>
      </w:r>
    </w:p>
    <w:p w:rsidR="003F2B4F" w:rsidRPr="003F2B4F" w:rsidRDefault="003F2B4F" w:rsidP="003F2B4F">
      <w:pPr>
        <w:spacing w:after="0" w:line="240" w:lineRule="auto"/>
        <w:jc w:val="both"/>
        <w:rPr>
          <w:rFonts w:ascii="Calibri" w:hAnsi="Calibri"/>
          <w:sz w:val="24"/>
          <w:szCs w:val="24"/>
        </w:rPr>
      </w:pPr>
    </w:p>
    <w:p w:rsidR="0078035F" w:rsidRPr="003F2B4F" w:rsidRDefault="00F3002A" w:rsidP="003F2B4F">
      <w:pPr>
        <w:spacing w:after="0" w:line="240" w:lineRule="auto"/>
        <w:jc w:val="both"/>
        <w:rPr>
          <w:rFonts w:ascii="Calibri" w:hAnsi="Calibri"/>
          <w:sz w:val="24"/>
          <w:szCs w:val="24"/>
        </w:rPr>
      </w:pPr>
      <w:r w:rsidRPr="003F2B4F">
        <w:rPr>
          <w:rFonts w:ascii="Calibri" w:hAnsi="Calibri"/>
          <w:sz w:val="24"/>
          <w:szCs w:val="24"/>
        </w:rPr>
        <w:t>Table 6</w:t>
      </w:r>
    </w:p>
    <w:tbl>
      <w:tblPr>
        <w:tblStyle w:val="TableGrid"/>
        <w:tblW w:w="9498" w:type="dxa"/>
        <w:tblInd w:w="108" w:type="dxa"/>
        <w:tblLayout w:type="fixed"/>
        <w:tblLook w:val="04A0" w:firstRow="1" w:lastRow="0" w:firstColumn="1" w:lastColumn="0" w:noHBand="0" w:noVBand="1"/>
      </w:tblPr>
      <w:tblGrid>
        <w:gridCol w:w="3969"/>
        <w:gridCol w:w="1418"/>
        <w:gridCol w:w="1417"/>
        <w:gridCol w:w="1418"/>
        <w:gridCol w:w="1276"/>
      </w:tblGrid>
      <w:tr w:rsidR="00533524" w:rsidRPr="003F2B4F" w:rsidTr="003F2B4F">
        <w:tc>
          <w:tcPr>
            <w:tcW w:w="3969" w:type="dxa"/>
          </w:tcPr>
          <w:p w:rsidR="00533524" w:rsidRPr="003F2B4F" w:rsidRDefault="00533524" w:rsidP="003F2B4F">
            <w:pPr>
              <w:ind w:right="-15"/>
              <w:jc w:val="both"/>
              <w:rPr>
                <w:rFonts w:ascii="Calibri" w:hAnsi="Calibri"/>
                <w:b/>
                <w:sz w:val="23"/>
                <w:szCs w:val="23"/>
              </w:rPr>
            </w:pPr>
            <w:r w:rsidRPr="003F2B4F">
              <w:rPr>
                <w:rFonts w:ascii="Calibri" w:hAnsi="Calibri"/>
                <w:b/>
                <w:sz w:val="23"/>
                <w:szCs w:val="23"/>
              </w:rPr>
              <w:t>Settlement Funding Assessment</w:t>
            </w:r>
          </w:p>
        </w:tc>
        <w:tc>
          <w:tcPr>
            <w:tcW w:w="1418" w:type="dxa"/>
          </w:tcPr>
          <w:p w:rsidR="00533524" w:rsidRPr="003F2B4F" w:rsidRDefault="00533524" w:rsidP="003F2B4F">
            <w:pPr>
              <w:jc w:val="right"/>
              <w:rPr>
                <w:rFonts w:ascii="Calibri" w:hAnsi="Calibri"/>
                <w:b/>
                <w:sz w:val="23"/>
                <w:szCs w:val="23"/>
              </w:rPr>
            </w:pPr>
            <w:r w:rsidRPr="003F2B4F">
              <w:rPr>
                <w:rFonts w:ascii="Calibri" w:hAnsi="Calibri"/>
                <w:b/>
                <w:sz w:val="23"/>
                <w:szCs w:val="23"/>
              </w:rPr>
              <w:t>2016/17</w:t>
            </w:r>
          </w:p>
        </w:tc>
        <w:tc>
          <w:tcPr>
            <w:tcW w:w="1417" w:type="dxa"/>
          </w:tcPr>
          <w:p w:rsidR="00533524" w:rsidRPr="003F2B4F" w:rsidRDefault="00533524" w:rsidP="003F2B4F">
            <w:pPr>
              <w:jc w:val="right"/>
              <w:rPr>
                <w:rFonts w:ascii="Calibri" w:hAnsi="Calibri"/>
                <w:b/>
                <w:sz w:val="23"/>
                <w:szCs w:val="23"/>
              </w:rPr>
            </w:pPr>
            <w:r w:rsidRPr="003F2B4F">
              <w:rPr>
                <w:rFonts w:ascii="Calibri" w:hAnsi="Calibri"/>
                <w:b/>
                <w:sz w:val="23"/>
                <w:szCs w:val="23"/>
              </w:rPr>
              <w:t>2017/18</w:t>
            </w:r>
          </w:p>
        </w:tc>
        <w:tc>
          <w:tcPr>
            <w:tcW w:w="1418" w:type="dxa"/>
          </w:tcPr>
          <w:p w:rsidR="00533524" w:rsidRPr="003F2B4F" w:rsidRDefault="00533524" w:rsidP="003F2B4F">
            <w:pPr>
              <w:jc w:val="right"/>
              <w:rPr>
                <w:rFonts w:ascii="Calibri" w:hAnsi="Calibri"/>
                <w:b/>
                <w:sz w:val="23"/>
                <w:szCs w:val="23"/>
              </w:rPr>
            </w:pPr>
            <w:r w:rsidRPr="003F2B4F">
              <w:rPr>
                <w:rFonts w:ascii="Calibri" w:hAnsi="Calibri"/>
                <w:b/>
                <w:sz w:val="23"/>
                <w:szCs w:val="23"/>
              </w:rPr>
              <w:t>2018/19</w:t>
            </w:r>
          </w:p>
        </w:tc>
        <w:tc>
          <w:tcPr>
            <w:tcW w:w="1276" w:type="dxa"/>
          </w:tcPr>
          <w:p w:rsidR="00533524" w:rsidRPr="003F2B4F" w:rsidRDefault="00533524" w:rsidP="003F2B4F">
            <w:pPr>
              <w:jc w:val="right"/>
              <w:rPr>
                <w:rFonts w:ascii="Calibri" w:hAnsi="Calibri"/>
                <w:b/>
                <w:sz w:val="23"/>
                <w:szCs w:val="23"/>
              </w:rPr>
            </w:pPr>
            <w:r w:rsidRPr="003F2B4F">
              <w:rPr>
                <w:rFonts w:ascii="Calibri" w:hAnsi="Calibri"/>
                <w:b/>
                <w:sz w:val="23"/>
                <w:szCs w:val="23"/>
              </w:rPr>
              <w:t>Estimated 2019/20</w:t>
            </w:r>
          </w:p>
        </w:tc>
      </w:tr>
      <w:tr w:rsidR="00533524" w:rsidRPr="003F2B4F" w:rsidTr="003F2B4F">
        <w:tc>
          <w:tcPr>
            <w:tcW w:w="3969" w:type="dxa"/>
          </w:tcPr>
          <w:p w:rsidR="00533524" w:rsidRPr="003F2B4F" w:rsidRDefault="00533524" w:rsidP="003F2B4F">
            <w:pPr>
              <w:jc w:val="both"/>
              <w:rPr>
                <w:rFonts w:ascii="Calibri" w:hAnsi="Calibri"/>
                <w:sz w:val="23"/>
                <w:szCs w:val="23"/>
              </w:rPr>
            </w:pPr>
          </w:p>
        </w:tc>
        <w:tc>
          <w:tcPr>
            <w:tcW w:w="1418" w:type="dxa"/>
          </w:tcPr>
          <w:p w:rsidR="00533524" w:rsidRPr="003F2B4F" w:rsidRDefault="00533524" w:rsidP="003F2B4F">
            <w:pPr>
              <w:jc w:val="right"/>
              <w:rPr>
                <w:rFonts w:ascii="Calibri" w:hAnsi="Calibri"/>
                <w:b/>
                <w:sz w:val="23"/>
                <w:szCs w:val="23"/>
              </w:rPr>
            </w:pPr>
            <w:r w:rsidRPr="003F2B4F">
              <w:rPr>
                <w:rFonts w:ascii="Calibri" w:hAnsi="Calibri"/>
                <w:b/>
                <w:sz w:val="23"/>
                <w:szCs w:val="23"/>
              </w:rPr>
              <w:t>£</w:t>
            </w:r>
          </w:p>
        </w:tc>
        <w:tc>
          <w:tcPr>
            <w:tcW w:w="1417" w:type="dxa"/>
          </w:tcPr>
          <w:p w:rsidR="00533524" w:rsidRPr="003F2B4F" w:rsidRDefault="00533524" w:rsidP="003F2B4F">
            <w:pPr>
              <w:jc w:val="right"/>
              <w:rPr>
                <w:rFonts w:ascii="Calibri" w:hAnsi="Calibri"/>
                <w:b/>
                <w:sz w:val="23"/>
                <w:szCs w:val="23"/>
              </w:rPr>
            </w:pPr>
            <w:r w:rsidRPr="003F2B4F">
              <w:rPr>
                <w:rFonts w:ascii="Calibri" w:hAnsi="Calibri"/>
                <w:b/>
                <w:sz w:val="23"/>
                <w:szCs w:val="23"/>
              </w:rPr>
              <w:t>£</w:t>
            </w:r>
          </w:p>
        </w:tc>
        <w:tc>
          <w:tcPr>
            <w:tcW w:w="1418" w:type="dxa"/>
          </w:tcPr>
          <w:p w:rsidR="00533524" w:rsidRPr="003F2B4F" w:rsidRDefault="00533524" w:rsidP="003F2B4F">
            <w:pPr>
              <w:jc w:val="right"/>
              <w:rPr>
                <w:rFonts w:ascii="Calibri" w:hAnsi="Calibri"/>
                <w:b/>
                <w:sz w:val="23"/>
                <w:szCs w:val="23"/>
              </w:rPr>
            </w:pPr>
            <w:r w:rsidRPr="003F2B4F">
              <w:rPr>
                <w:rFonts w:ascii="Calibri" w:hAnsi="Calibri"/>
                <w:b/>
                <w:sz w:val="23"/>
                <w:szCs w:val="23"/>
              </w:rPr>
              <w:t>£</w:t>
            </w:r>
          </w:p>
        </w:tc>
        <w:tc>
          <w:tcPr>
            <w:tcW w:w="1276" w:type="dxa"/>
          </w:tcPr>
          <w:p w:rsidR="00533524" w:rsidRPr="003F2B4F" w:rsidRDefault="00533524" w:rsidP="003F2B4F">
            <w:pPr>
              <w:jc w:val="right"/>
              <w:rPr>
                <w:rFonts w:ascii="Calibri" w:hAnsi="Calibri"/>
                <w:b/>
                <w:sz w:val="23"/>
                <w:szCs w:val="23"/>
              </w:rPr>
            </w:pPr>
            <w:r w:rsidRPr="003F2B4F">
              <w:rPr>
                <w:rFonts w:ascii="Calibri" w:hAnsi="Calibri"/>
                <w:b/>
                <w:sz w:val="23"/>
                <w:szCs w:val="23"/>
              </w:rPr>
              <w:t>£</w:t>
            </w:r>
          </w:p>
        </w:tc>
      </w:tr>
      <w:tr w:rsidR="00533524" w:rsidRPr="003F2B4F" w:rsidTr="003F2B4F">
        <w:tc>
          <w:tcPr>
            <w:tcW w:w="3969" w:type="dxa"/>
          </w:tcPr>
          <w:p w:rsidR="00533524" w:rsidRPr="003F2B4F" w:rsidRDefault="00533524" w:rsidP="003F2B4F">
            <w:pPr>
              <w:jc w:val="both"/>
              <w:rPr>
                <w:rFonts w:ascii="Calibri" w:hAnsi="Calibri"/>
                <w:sz w:val="23"/>
                <w:szCs w:val="23"/>
              </w:rPr>
            </w:pPr>
            <w:r w:rsidRPr="003F2B4F">
              <w:rPr>
                <w:rFonts w:ascii="Calibri" w:hAnsi="Calibri"/>
                <w:sz w:val="23"/>
                <w:szCs w:val="23"/>
              </w:rPr>
              <w:t>Revenue Support Grant</w:t>
            </w:r>
          </w:p>
        </w:tc>
        <w:tc>
          <w:tcPr>
            <w:tcW w:w="1418" w:type="dxa"/>
          </w:tcPr>
          <w:p w:rsidR="00533524" w:rsidRPr="003F2B4F" w:rsidRDefault="00533524" w:rsidP="003F2B4F">
            <w:pPr>
              <w:jc w:val="right"/>
              <w:rPr>
                <w:rFonts w:ascii="Calibri" w:hAnsi="Calibri"/>
                <w:sz w:val="23"/>
                <w:szCs w:val="23"/>
              </w:rPr>
            </w:pPr>
            <w:r w:rsidRPr="003F2B4F">
              <w:rPr>
                <w:rFonts w:ascii="Calibri" w:hAnsi="Calibri"/>
                <w:sz w:val="23"/>
                <w:szCs w:val="23"/>
              </w:rPr>
              <w:t>1,776,668</w:t>
            </w:r>
          </w:p>
        </w:tc>
        <w:tc>
          <w:tcPr>
            <w:tcW w:w="1417" w:type="dxa"/>
          </w:tcPr>
          <w:p w:rsidR="00533524" w:rsidRPr="003F2B4F" w:rsidRDefault="00533524" w:rsidP="003F2B4F">
            <w:pPr>
              <w:jc w:val="right"/>
              <w:rPr>
                <w:rFonts w:ascii="Calibri" w:hAnsi="Calibri"/>
                <w:sz w:val="23"/>
                <w:szCs w:val="23"/>
              </w:rPr>
            </w:pPr>
            <w:r w:rsidRPr="003F2B4F">
              <w:rPr>
                <w:rFonts w:ascii="Calibri" w:hAnsi="Calibri"/>
                <w:sz w:val="23"/>
                <w:szCs w:val="23"/>
              </w:rPr>
              <w:t>1,048,592</w:t>
            </w:r>
          </w:p>
        </w:tc>
        <w:tc>
          <w:tcPr>
            <w:tcW w:w="1418" w:type="dxa"/>
          </w:tcPr>
          <w:p w:rsidR="00533524" w:rsidRPr="003F2B4F" w:rsidRDefault="00533524" w:rsidP="003F2B4F">
            <w:pPr>
              <w:jc w:val="right"/>
              <w:rPr>
                <w:rFonts w:ascii="Calibri" w:hAnsi="Calibri"/>
                <w:sz w:val="23"/>
                <w:szCs w:val="23"/>
              </w:rPr>
            </w:pPr>
            <w:r w:rsidRPr="003F2B4F">
              <w:rPr>
                <w:rFonts w:ascii="Calibri" w:hAnsi="Calibri"/>
                <w:sz w:val="23"/>
                <w:szCs w:val="23"/>
              </w:rPr>
              <w:t>592,374</w:t>
            </w:r>
          </w:p>
        </w:tc>
        <w:tc>
          <w:tcPr>
            <w:tcW w:w="1276" w:type="dxa"/>
          </w:tcPr>
          <w:p w:rsidR="00533524" w:rsidRPr="003F2B4F" w:rsidRDefault="00E11B70" w:rsidP="003F2B4F">
            <w:pPr>
              <w:jc w:val="right"/>
              <w:rPr>
                <w:rFonts w:ascii="Calibri" w:hAnsi="Calibri"/>
                <w:sz w:val="23"/>
                <w:szCs w:val="23"/>
              </w:rPr>
            </w:pPr>
            <w:r w:rsidRPr="003F2B4F">
              <w:rPr>
                <w:rFonts w:ascii="Calibri" w:hAnsi="Calibri"/>
                <w:sz w:val="23"/>
                <w:szCs w:val="23"/>
              </w:rPr>
              <w:t>82,785</w:t>
            </w:r>
          </w:p>
        </w:tc>
      </w:tr>
      <w:tr w:rsidR="00533524" w:rsidRPr="003F2B4F" w:rsidTr="003F2B4F">
        <w:tc>
          <w:tcPr>
            <w:tcW w:w="3969" w:type="dxa"/>
          </w:tcPr>
          <w:p w:rsidR="00533524" w:rsidRPr="003F2B4F" w:rsidRDefault="00533524" w:rsidP="003F2B4F">
            <w:pPr>
              <w:jc w:val="both"/>
              <w:rPr>
                <w:rFonts w:ascii="Calibri" w:hAnsi="Calibri"/>
                <w:sz w:val="23"/>
                <w:szCs w:val="23"/>
              </w:rPr>
            </w:pPr>
            <w:r w:rsidRPr="003F2B4F">
              <w:rPr>
                <w:rFonts w:ascii="Calibri" w:hAnsi="Calibri"/>
                <w:sz w:val="23"/>
                <w:szCs w:val="23"/>
              </w:rPr>
              <w:t>Retained Business Rates</w:t>
            </w:r>
          </w:p>
        </w:tc>
        <w:tc>
          <w:tcPr>
            <w:tcW w:w="1418" w:type="dxa"/>
          </w:tcPr>
          <w:p w:rsidR="00533524" w:rsidRPr="003F2B4F" w:rsidRDefault="00533524" w:rsidP="003F2B4F">
            <w:pPr>
              <w:jc w:val="right"/>
              <w:rPr>
                <w:rFonts w:ascii="Calibri" w:hAnsi="Calibri"/>
                <w:sz w:val="23"/>
                <w:szCs w:val="23"/>
              </w:rPr>
            </w:pPr>
            <w:r w:rsidRPr="003F2B4F">
              <w:rPr>
                <w:rFonts w:ascii="Calibri" w:hAnsi="Calibri"/>
                <w:sz w:val="23"/>
                <w:szCs w:val="23"/>
              </w:rPr>
              <w:t>3,365,803</w:t>
            </w:r>
          </w:p>
        </w:tc>
        <w:tc>
          <w:tcPr>
            <w:tcW w:w="1417" w:type="dxa"/>
          </w:tcPr>
          <w:p w:rsidR="00533524" w:rsidRPr="003F2B4F" w:rsidRDefault="00533524" w:rsidP="003F2B4F">
            <w:pPr>
              <w:jc w:val="right"/>
              <w:rPr>
                <w:rFonts w:ascii="Calibri" w:hAnsi="Calibri"/>
                <w:sz w:val="23"/>
                <w:szCs w:val="23"/>
              </w:rPr>
            </w:pPr>
            <w:r w:rsidRPr="003F2B4F">
              <w:rPr>
                <w:rFonts w:ascii="Calibri" w:hAnsi="Calibri"/>
                <w:sz w:val="23"/>
                <w:szCs w:val="23"/>
              </w:rPr>
              <w:t>3,434,519</w:t>
            </w:r>
          </w:p>
        </w:tc>
        <w:tc>
          <w:tcPr>
            <w:tcW w:w="1418" w:type="dxa"/>
          </w:tcPr>
          <w:p w:rsidR="00533524" w:rsidRPr="003F2B4F" w:rsidRDefault="00533524" w:rsidP="003F2B4F">
            <w:pPr>
              <w:jc w:val="right"/>
              <w:rPr>
                <w:rFonts w:ascii="Calibri" w:hAnsi="Calibri"/>
                <w:sz w:val="23"/>
                <w:szCs w:val="23"/>
              </w:rPr>
            </w:pPr>
            <w:r w:rsidRPr="003F2B4F">
              <w:rPr>
                <w:rFonts w:ascii="Calibri" w:hAnsi="Calibri"/>
                <w:sz w:val="23"/>
                <w:szCs w:val="23"/>
              </w:rPr>
              <w:t>3,537,702</w:t>
            </w:r>
          </w:p>
        </w:tc>
        <w:tc>
          <w:tcPr>
            <w:tcW w:w="1276" w:type="dxa"/>
          </w:tcPr>
          <w:p w:rsidR="00533524" w:rsidRPr="003F2B4F" w:rsidRDefault="00533524" w:rsidP="003F2B4F">
            <w:pPr>
              <w:jc w:val="right"/>
              <w:rPr>
                <w:rFonts w:ascii="Calibri" w:hAnsi="Calibri"/>
                <w:sz w:val="23"/>
                <w:szCs w:val="23"/>
              </w:rPr>
            </w:pPr>
            <w:r w:rsidRPr="003F2B4F">
              <w:rPr>
                <w:rFonts w:ascii="Calibri" w:hAnsi="Calibri"/>
                <w:sz w:val="23"/>
                <w:szCs w:val="23"/>
              </w:rPr>
              <w:t>3,61</w:t>
            </w:r>
            <w:r w:rsidR="00E11B70" w:rsidRPr="003F2B4F">
              <w:rPr>
                <w:rFonts w:ascii="Calibri" w:hAnsi="Calibri"/>
                <w:sz w:val="23"/>
                <w:szCs w:val="23"/>
              </w:rPr>
              <w:t>8</w:t>
            </w:r>
            <w:r w:rsidRPr="003F2B4F">
              <w:rPr>
                <w:rFonts w:ascii="Calibri" w:hAnsi="Calibri"/>
                <w:sz w:val="23"/>
                <w:szCs w:val="23"/>
              </w:rPr>
              <w:t>,</w:t>
            </w:r>
            <w:r w:rsidR="00E11B70" w:rsidRPr="003F2B4F">
              <w:rPr>
                <w:rFonts w:ascii="Calibri" w:hAnsi="Calibri"/>
                <w:sz w:val="23"/>
                <w:szCs w:val="23"/>
              </w:rPr>
              <w:t>775</w:t>
            </w:r>
          </w:p>
        </w:tc>
      </w:tr>
      <w:tr w:rsidR="00533524" w:rsidRPr="003F2B4F" w:rsidTr="003F2B4F">
        <w:tc>
          <w:tcPr>
            <w:tcW w:w="3969" w:type="dxa"/>
          </w:tcPr>
          <w:p w:rsidR="00533524" w:rsidRPr="003F2B4F" w:rsidRDefault="00533524" w:rsidP="003F2B4F">
            <w:pPr>
              <w:jc w:val="both"/>
              <w:rPr>
                <w:rFonts w:ascii="Calibri" w:hAnsi="Calibri"/>
                <w:b/>
                <w:sz w:val="23"/>
                <w:szCs w:val="23"/>
              </w:rPr>
            </w:pPr>
            <w:r w:rsidRPr="003F2B4F">
              <w:rPr>
                <w:rFonts w:ascii="Calibri" w:hAnsi="Calibri"/>
                <w:b/>
                <w:sz w:val="23"/>
                <w:szCs w:val="23"/>
              </w:rPr>
              <w:t>Total Settlement Funding Assessment</w:t>
            </w:r>
          </w:p>
        </w:tc>
        <w:tc>
          <w:tcPr>
            <w:tcW w:w="1418" w:type="dxa"/>
          </w:tcPr>
          <w:p w:rsidR="00533524" w:rsidRPr="003F2B4F" w:rsidRDefault="00533524" w:rsidP="003F2B4F">
            <w:pPr>
              <w:jc w:val="right"/>
              <w:rPr>
                <w:rFonts w:ascii="Calibri" w:hAnsi="Calibri"/>
                <w:sz w:val="23"/>
                <w:szCs w:val="23"/>
              </w:rPr>
            </w:pPr>
            <w:r w:rsidRPr="003F2B4F">
              <w:rPr>
                <w:rFonts w:ascii="Calibri" w:hAnsi="Calibri"/>
                <w:sz w:val="23"/>
                <w:szCs w:val="23"/>
              </w:rPr>
              <w:fldChar w:fldCharType="begin"/>
            </w:r>
            <w:r w:rsidRPr="003F2B4F">
              <w:rPr>
                <w:rFonts w:ascii="Calibri" w:hAnsi="Calibri"/>
                <w:sz w:val="23"/>
                <w:szCs w:val="23"/>
              </w:rPr>
              <w:instrText xml:space="preserve"> =SUM(ABOVE) </w:instrText>
            </w:r>
            <w:r w:rsidRPr="003F2B4F">
              <w:rPr>
                <w:rFonts w:ascii="Calibri" w:hAnsi="Calibri"/>
                <w:sz w:val="23"/>
                <w:szCs w:val="23"/>
              </w:rPr>
              <w:fldChar w:fldCharType="separate"/>
            </w:r>
            <w:r w:rsidRPr="003F2B4F">
              <w:rPr>
                <w:rFonts w:ascii="Calibri" w:hAnsi="Calibri"/>
                <w:noProof/>
                <w:sz w:val="23"/>
                <w:szCs w:val="23"/>
              </w:rPr>
              <w:t>5,142,471</w:t>
            </w:r>
            <w:r w:rsidRPr="003F2B4F">
              <w:rPr>
                <w:rFonts w:ascii="Calibri" w:hAnsi="Calibri"/>
                <w:sz w:val="23"/>
                <w:szCs w:val="23"/>
              </w:rPr>
              <w:fldChar w:fldCharType="end"/>
            </w:r>
          </w:p>
        </w:tc>
        <w:tc>
          <w:tcPr>
            <w:tcW w:w="1417" w:type="dxa"/>
          </w:tcPr>
          <w:p w:rsidR="00533524" w:rsidRPr="003F2B4F" w:rsidRDefault="00533524" w:rsidP="003F2B4F">
            <w:pPr>
              <w:jc w:val="right"/>
              <w:rPr>
                <w:rFonts w:ascii="Calibri" w:hAnsi="Calibri"/>
                <w:sz w:val="23"/>
                <w:szCs w:val="23"/>
              </w:rPr>
            </w:pPr>
            <w:r w:rsidRPr="003F2B4F">
              <w:rPr>
                <w:rFonts w:ascii="Calibri" w:hAnsi="Calibri"/>
                <w:sz w:val="23"/>
                <w:szCs w:val="23"/>
              </w:rPr>
              <w:fldChar w:fldCharType="begin"/>
            </w:r>
            <w:r w:rsidRPr="003F2B4F">
              <w:rPr>
                <w:rFonts w:ascii="Calibri" w:hAnsi="Calibri"/>
                <w:sz w:val="23"/>
                <w:szCs w:val="23"/>
              </w:rPr>
              <w:instrText xml:space="preserve"> =SUM(ABOVE) </w:instrText>
            </w:r>
            <w:r w:rsidRPr="003F2B4F">
              <w:rPr>
                <w:rFonts w:ascii="Calibri" w:hAnsi="Calibri"/>
                <w:sz w:val="23"/>
                <w:szCs w:val="23"/>
              </w:rPr>
              <w:fldChar w:fldCharType="separate"/>
            </w:r>
            <w:r w:rsidRPr="003F2B4F">
              <w:rPr>
                <w:rFonts w:ascii="Calibri" w:hAnsi="Calibri"/>
                <w:noProof/>
                <w:sz w:val="23"/>
                <w:szCs w:val="23"/>
              </w:rPr>
              <w:t>4,483,111</w:t>
            </w:r>
            <w:r w:rsidRPr="003F2B4F">
              <w:rPr>
                <w:rFonts w:ascii="Calibri" w:hAnsi="Calibri"/>
                <w:sz w:val="23"/>
                <w:szCs w:val="23"/>
              </w:rPr>
              <w:fldChar w:fldCharType="end"/>
            </w:r>
          </w:p>
        </w:tc>
        <w:tc>
          <w:tcPr>
            <w:tcW w:w="1418" w:type="dxa"/>
          </w:tcPr>
          <w:p w:rsidR="00533524" w:rsidRPr="003F2B4F" w:rsidRDefault="00533524" w:rsidP="003F2B4F">
            <w:pPr>
              <w:jc w:val="right"/>
              <w:rPr>
                <w:rFonts w:ascii="Calibri" w:hAnsi="Calibri"/>
                <w:sz w:val="23"/>
                <w:szCs w:val="23"/>
              </w:rPr>
            </w:pPr>
            <w:r w:rsidRPr="003F2B4F">
              <w:rPr>
                <w:rFonts w:ascii="Calibri" w:hAnsi="Calibri"/>
                <w:sz w:val="23"/>
                <w:szCs w:val="23"/>
              </w:rPr>
              <w:t>4,130,076</w:t>
            </w:r>
          </w:p>
        </w:tc>
        <w:tc>
          <w:tcPr>
            <w:tcW w:w="1276" w:type="dxa"/>
          </w:tcPr>
          <w:p w:rsidR="00533524" w:rsidRPr="003F2B4F" w:rsidRDefault="00533524" w:rsidP="003F2B4F">
            <w:pPr>
              <w:jc w:val="right"/>
              <w:rPr>
                <w:rFonts w:ascii="Calibri" w:hAnsi="Calibri"/>
                <w:sz w:val="23"/>
                <w:szCs w:val="23"/>
              </w:rPr>
            </w:pPr>
            <w:r w:rsidRPr="003F2B4F">
              <w:rPr>
                <w:rFonts w:ascii="Calibri" w:hAnsi="Calibri"/>
                <w:sz w:val="23"/>
                <w:szCs w:val="23"/>
              </w:rPr>
              <w:fldChar w:fldCharType="begin"/>
            </w:r>
            <w:r w:rsidRPr="003F2B4F">
              <w:rPr>
                <w:rFonts w:ascii="Calibri" w:hAnsi="Calibri"/>
                <w:sz w:val="23"/>
                <w:szCs w:val="23"/>
              </w:rPr>
              <w:instrText xml:space="preserve"> =SUM(ABOVE) </w:instrText>
            </w:r>
            <w:r w:rsidRPr="003F2B4F">
              <w:rPr>
                <w:rFonts w:ascii="Calibri" w:hAnsi="Calibri"/>
                <w:sz w:val="23"/>
                <w:szCs w:val="23"/>
              </w:rPr>
              <w:fldChar w:fldCharType="separate"/>
            </w:r>
            <w:r w:rsidR="00E11B70" w:rsidRPr="003F2B4F">
              <w:rPr>
                <w:rFonts w:ascii="Calibri" w:hAnsi="Calibri"/>
                <w:noProof/>
                <w:sz w:val="23"/>
                <w:szCs w:val="23"/>
              </w:rPr>
              <w:t>3,701</w:t>
            </w:r>
            <w:r w:rsidRPr="003F2B4F">
              <w:rPr>
                <w:rFonts w:ascii="Calibri" w:hAnsi="Calibri"/>
                <w:noProof/>
                <w:sz w:val="23"/>
                <w:szCs w:val="23"/>
              </w:rPr>
              <w:t>,</w:t>
            </w:r>
            <w:r w:rsidRPr="003F2B4F">
              <w:rPr>
                <w:rFonts w:ascii="Calibri" w:hAnsi="Calibri"/>
                <w:sz w:val="23"/>
                <w:szCs w:val="23"/>
              </w:rPr>
              <w:fldChar w:fldCharType="end"/>
            </w:r>
            <w:r w:rsidR="00E11B70" w:rsidRPr="003F2B4F">
              <w:rPr>
                <w:rFonts w:ascii="Calibri" w:hAnsi="Calibri"/>
                <w:sz w:val="23"/>
                <w:szCs w:val="23"/>
              </w:rPr>
              <w:t>560</w:t>
            </w:r>
          </w:p>
        </w:tc>
      </w:tr>
      <w:tr w:rsidR="00533524" w:rsidRPr="003F2B4F" w:rsidTr="003F2B4F">
        <w:tc>
          <w:tcPr>
            <w:tcW w:w="3969" w:type="dxa"/>
          </w:tcPr>
          <w:p w:rsidR="00533524" w:rsidRPr="003F2B4F" w:rsidRDefault="00533524" w:rsidP="003F2B4F">
            <w:pPr>
              <w:jc w:val="both"/>
              <w:rPr>
                <w:rFonts w:ascii="Calibri" w:hAnsi="Calibri"/>
                <w:b/>
                <w:sz w:val="23"/>
                <w:szCs w:val="23"/>
              </w:rPr>
            </w:pPr>
            <w:r w:rsidRPr="003F2B4F">
              <w:rPr>
                <w:rFonts w:ascii="Calibri" w:hAnsi="Calibri"/>
                <w:b/>
                <w:sz w:val="23"/>
                <w:szCs w:val="23"/>
              </w:rPr>
              <w:t>Reduction in funding from 2016/17</w:t>
            </w:r>
          </w:p>
        </w:tc>
        <w:tc>
          <w:tcPr>
            <w:tcW w:w="1418" w:type="dxa"/>
          </w:tcPr>
          <w:p w:rsidR="00533524" w:rsidRPr="003F2B4F" w:rsidRDefault="00533524" w:rsidP="003F2B4F">
            <w:pPr>
              <w:jc w:val="right"/>
              <w:rPr>
                <w:rFonts w:ascii="Calibri" w:hAnsi="Calibri"/>
                <w:sz w:val="23"/>
                <w:szCs w:val="23"/>
              </w:rPr>
            </w:pPr>
          </w:p>
        </w:tc>
        <w:tc>
          <w:tcPr>
            <w:tcW w:w="1417" w:type="dxa"/>
          </w:tcPr>
          <w:p w:rsidR="00533524" w:rsidRPr="003F2B4F" w:rsidRDefault="00533524" w:rsidP="003F2B4F">
            <w:pPr>
              <w:jc w:val="right"/>
              <w:rPr>
                <w:rFonts w:ascii="Calibri" w:hAnsi="Calibri"/>
                <w:sz w:val="23"/>
                <w:szCs w:val="23"/>
              </w:rPr>
            </w:pPr>
            <w:r w:rsidRPr="003F2B4F">
              <w:rPr>
                <w:rFonts w:ascii="Calibri" w:hAnsi="Calibri"/>
                <w:sz w:val="23"/>
                <w:szCs w:val="23"/>
              </w:rPr>
              <w:t>12.8%</w:t>
            </w:r>
          </w:p>
        </w:tc>
        <w:tc>
          <w:tcPr>
            <w:tcW w:w="1418" w:type="dxa"/>
          </w:tcPr>
          <w:p w:rsidR="00533524" w:rsidRPr="003F2B4F" w:rsidRDefault="00533524" w:rsidP="003F2B4F">
            <w:pPr>
              <w:jc w:val="right"/>
              <w:rPr>
                <w:rFonts w:ascii="Calibri" w:hAnsi="Calibri"/>
                <w:sz w:val="23"/>
                <w:szCs w:val="23"/>
              </w:rPr>
            </w:pPr>
            <w:r w:rsidRPr="003F2B4F">
              <w:rPr>
                <w:rFonts w:ascii="Calibri" w:hAnsi="Calibri"/>
                <w:sz w:val="23"/>
                <w:szCs w:val="23"/>
              </w:rPr>
              <w:t>19.7%</w:t>
            </w:r>
          </w:p>
        </w:tc>
        <w:tc>
          <w:tcPr>
            <w:tcW w:w="1276" w:type="dxa"/>
          </w:tcPr>
          <w:p w:rsidR="00533524" w:rsidRPr="003F2B4F" w:rsidRDefault="00E11B70" w:rsidP="003F2B4F">
            <w:pPr>
              <w:jc w:val="right"/>
              <w:rPr>
                <w:rFonts w:ascii="Calibri" w:hAnsi="Calibri"/>
                <w:sz w:val="23"/>
                <w:szCs w:val="23"/>
              </w:rPr>
            </w:pPr>
            <w:r w:rsidRPr="003F2B4F">
              <w:rPr>
                <w:rFonts w:ascii="Calibri" w:hAnsi="Calibri"/>
                <w:sz w:val="23"/>
                <w:szCs w:val="23"/>
              </w:rPr>
              <w:t>28.0</w:t>
            </w:r>
            <w:r w:rsidR="00533524" w:rsidRPr="003F2B4F">
              <w:rPr>
                <w:rFonts w:ascii="Calibri" w:hAnsi="Calibri"/>
                <w:sz w:val="23"/>
                <w:szCs w:val="23"/>
              </w:rPr>
              <w:t>%</w:t>
            </w:r>
          </w:p>
        </w:tc>
      </w:tr>
      <w:tr w:rsidR="00533524" w:rsidRPr="003F2B4F" w:rsidTr="003F2B4F">
        <w:tc>
          <w:tcPr>
            <w:tcW w:w="3969" w:type="dxa"/>
          </w:tcPr>
          <w:p w:rsidR="00533524" w:rsidRPr="003F2B4F" w:rsidRDefault="00533524" w:rsidP="003F2B4F">
            <w:pPr>
              <w:jc w:val="both"/>
              <w:rPr>
                <w:rFonts w:ascii="Calibri" w:hAnsi="Calibri"/>
                <w:b/>
                <w:sz w:val="23"/>
                <w:szCs w:val="23"/>
              </w:rPr>
            </w:pPr>
            <w:r w:rsidRPr="003F2B4F">
              <w:rPr>
                <w:rFonts w:ascii="Calibri" w:hAnsi="Calibri"/>
                <w:b/>
                <w:sz w:val="23"/>
                <w:szCs w:val="23"/>
              </w:rPr>
              <w:t>Original Service Budget</w:t>
            </w:r>
          </w:p>
        </w:tc>
        <w:tc>
          <w:tcPr>
            <w:tcW w:w="1418" w:type="dxa"/>
          </w:tcPr>
          <w:p w:rsidR="00533524" w:rsidRPr="003F2B4F" w:rsidRDefault="00533524" w:rsidP="003F2B4F">
            <w:pPr>
              <w:jc w:val="right"/>
              <w:rPr>
                <w:rFonts w:ascii="Calibri" w:hAnsi="Calibri"/>
                <w:sz w:val="23"/>
                <w:szCs w:val="23"/>
              </w:rPr>
            </w:pPr>
            <w:r w:rsidRPr="003F2B4F">
              <w:rPr>
                <w:rFonts w:ascii="Calibri" w:hAnsi="Calibri"/>
                <w:sz w:val="23"/>
                <w:szCs w:val="23"/>
              </w:rPr>
              <w:t>12,262,620</w:t>
            </w:r>
          </w:p>
        </w:tc>
        <w:tc>
          <w:tcPr>
            <w:tcW w:w="1417" w:type="dxa"/>
          </w:tcPr>
          <w:p w:rsidR="00533524" w:rsidRPr="003F2B4F" w:rsidRDefault="00533524" w:rsidP="003F2B4F">
            <w:pPr>
              <w:jc w:val="right"/>
              <w:rPr>
                <w:rFonts w:ascii="Calibri" w:hAnsi="Calibri"/>
                <w:sz w:val="23"/>
                <w:szCs w:val="23"/>
              </w:rPr>
            </w:pPr>
            <w:r w:rsidRPr="003F2B4F">
              <w:rPr>
                <w:rFonts w:ascii="Calibri" w:hAnsi="Calibri"/>
                <w:sz w:val="23"/>
                <w:szCs w:val="23"/>
              </w:rPr>
              <w:t>11,640,720</w:t>
            </w:r>
          </w:p>
        </w:tc>
        <w:tc>
          <w:tcPr>
            <w:tcW w:w="1418" w:type="dxa"/>
          </w:tcPr>
          <w:p w:rsidR="00533524" w:rsidRPr="003F2B4F" w:rsidRDefault="00533524" w:rsidP="003F2B4F">
            <w:pPr>
              <w:jc w:val="right"/>
              <w:rPr>
                <w:rFonts w:ascii="Calibri" w:hAnsi="Calibri"/>
                <w:sz w:val="23"/>
                <w:szCs w:val="23"/>
              </w:rPr>
            </w:pPr>
            <w:r w:rsidRPr="003F2B4F">
              <w:rPr>
                <w:rFonts w:ascii="Calibri" w:hAnsi="Calibri"/>
                <w:sz w:val="23"/>
                <w:szCs w:val="23"/>
              </w:rPr>
              <w:t>12,650,480</w:t>
            </w:r>
          </w:p>
        </w:tc>
        <w:tc>
          <w:tcPr>
            <w:tcW w:w="1276" w:type="dxa"/>
          </w:tcPr>
          <w:p w:rsidR="00533524" w:rsidRPr="003F2B4F" w:rsidRDefault="00533524" w:rsidP="003F2B4F">
            <w:pPr>
              <w:jc w:val="right"/>
              <w:rPr>
                <w:rFonts w:ascii="Calibri" w:hAnsi="Calibri"/>
                <w:sz w:val="23"/>
                <w:szCs w:val="23"/>
              </w:rPr>
            </w:pPr>
            <w:r w:rsidRPr="003F2B4F">
              <w:rPr>
                <w:rFonts w:ascii="Calibri" w:hAnsi="Calibri"/>
                <w:sz w:val="23"/>
                <w:szCs w:val="23"/>
              </w:rPr>
              <w:t>1</w:t>
            </w:r>
            <w:r w:rsidR="00E11B70" w:rsidRPr="003F2B4F">
              <w:rPr>
                <w:rFonts w:ascii="Calibri" w:hAnsi="Calibri"/>
                <w:sz w:val="23"/>
                <w:szCs w:val="23"/>
              </w:rPr>
              <w:t>3</w:t>
            </w:r>
            <w:r w:rsidRPr="003F2B4F">
              <w:rPr>
                <w:rFonts w:ascii="Calibri" w:hAnsi="Calibri"/>
                <w:sz w:val="23"/>
                <w:szCs w:val="23"/>
              </w:rPr>
              <w:t>,</w:t>
            </w:r>
            <w:r w:rsidR="00E11B70" w:rsidRPr="003F2B4F">
              <w:rPr>
                <w:rFonts w:ascii="Calibri" w:hAnsi="Calibri"/>
                <w:sz w:val="23"/>
                <w:szCs w:val="23"/>
              </w:rPr>
              <w:t>482</w:t>
            </w:r>
            <w:r w:rsidRPr="003F2B4F">
              <w:rPr>
                <w:rFonts w:ascii="Calibri" w:hAnsi="Calibri"/>
                <w:sz w:val="23"/>
                <w:szCs w:val="23"/>
              </w:rPr>
              <w:t>,</w:t>
            </w:r>
            <w:r w:rsidR="00E11B70" w:rsidRPr="003F2B4F">
              <w:rPr>
                <w:rFonts w:ascii="Calibri" w:hAnsi="Calibri"/>
                <w:sz w:val="23"/>
                <w:szCs w:val="23"/>
              </w:rPr>
              <w:t>260</w:t>
            </w:r>
          </w:p>
        </w:tc>
      </w:tr>
      <w:tr w:rsidR="00533524" w:rsidRPr="003F2B4F" w:rsidTr="003F2B4F">
        <w:tc>
          <w:tcPr>
            <w:tcW w:w="3969" w:type="dxa"/>
          </w:tcPr>
          <w:p w:rsidR="00533524" w:rsidRPr="003F2B4F" w:rsidRDefault="00533524" w:rsidP="003F2B4F">
            <w:pPr>
              <w:jc w:val="both"/>
              <w:rPr>
                <w:rFonts w:ascii="Calibri" w:hAnsi="Calibri"/>
                <w:b/>
                <w:sz w:val="23"/>
                <w:szCs w:val="23"/>
              </w:rPr>
            </w:pPr>
            <w:r w:rsidRPr="003F2B4F">
              <w:rPr>
                <w:rFonts w:ascii="Calibri" w:hAnsi="Calibri"/>
                <w:b/>
                <w:sz w:val="23"/>
                <w:szCs w:val="23"/>
              </w:rPr>
              <w:t>Percentage of Service budget funded by Settlement Funding Assessment</w:t>
            </w:r>
          </w:p>
        </w:tc>
        <w:tc>
          <w:tcPr>
            <w:tcW w:w="1418" w:type="dxa"/>
          </w:tcPr>
          <w:p w:rsidR="00533524" w:rsidRPr="003F2B4F" w:rsidRDefault="00533524" w:rsidP="003F2B4F">
            <w:pPr>
              <w:jc w:val="right"/>
              <w:rPr>
                <w:rFonts w:ascii="Calibri" w:hAnsi="Calibri"/>
                <w:sz w:val="23"/>
                <w:szCs w:val="23"/>
              </w:rPr>
            </w:pPr>
            <w:r w:rsidRPr="003F2B4F">
              <w:rPr>
                <w:rFonts w:ascii="Calibri" w:hAnsi="Calibri"/>
                <w:sz w:val="23"/>
                <w:szCs w:val="23"/>
              </w:rPr>
              <w:t>41.94%</w:t>
            </w:r>
          </w:p>
        </w:tc>
        <w:tc>
          <w:tcPr>
            <w:tcW w:w="1417" w:type="dxa"/>
          </w:tcPr>
          <w:p w:rsidR="00533524" w:rsidRPr="003F2B4F" w:rsidRDefault="00533524" w:rsidP="003F2B4F">
            <w:pPr>
              <w:jc w:val="right"/>
              <w:rPr>
                <w:rFonts w:ascii="Calibri" w:hAnsi="Calibri"/>
                <w:sz w:val="23"/>
                <w:szCs w:val="23"/>
              </w:rPr>
            </w:pPr>
            <w:r w:rsidRPr="003F2B4F">
              <w:rPr>
                <w:rFonts w:ascii="Calibri" w:hAnsi="Calibri"/>
                <w:sz w:val="23"/>
                <w:szCs w:val="23"/>
              </w:rPr>
              <w:t>38.51%</w:t>
            </w:r>
          </w:p>
        </w:tc>
        <w:tc>
          <w:tcPr>
            <w:tcW w:w="1418" w:type="dxa"/>
          </w:tcPr>
          <w:p w:rsidR="00533524" w:rsidRPr="003F2B4F" w:rsidRDefault="00533524" w:rsidP="003F2B4F">
            <w:pPr>
              <w:jc w:val="right"/>
              <w:rPr>
                <w:rFonts w:ascii="Calibri" w:hAnsi="Calibri"/>
                <w:sz w:val="23"/>
                <w:szCs w:val="23"/>
              </w:rPr>
            </w:pPr>
            <w:r w:rsidRPr="003F2B4F">
              <w:rPr>
                <w:rFonts w:ascii="Calibri" w:hAnsi="Calibri"/>
                <w:sz w:val="23"/>
                <w:szCs w:val="23"/>
              </w:rPr>
              <w:t>32.65%</w:t>
            </w:r>
          </w:p>
        </w:tc>
        <w:tc>
          <w:tcPr>
            <w:tcW w:w="1276" w:type="dxa"/>
          </w:tcPr>
          <w:p w:rsidR="00533524" w:rsidRPr="003F2B4F" w:rsidRDefault="00E11B70" w:rsidP="003F2B4F">
            <w:pPr>
              <w:jc w:val="right"/>
              <w:rPr>
                <w:rFonts w:ascii="Calibri" w:hAnsi="Calibri"/>
                <w:sz w:val="23"/>
                <w:szCs w:val="23"/>
              </w:rPr>
            </w:pPr>
            <w:r w:rsidRPr="003F2B4F">
              <w:rPr>
                <w:rFonts w:ascii="Calibri" w:hAnsi="Calibri"/>
                <w:sz w:val="23"/>
                <w:szCs w:val="23"/>
              </w:rPr>
              <w:t>27</w:t>
            </w:r>
            <w:r w:rsidR="00533524" w:rsidRPr="003F2B4F">
              <w:rPr>
                <w:rFonts w:ascii="Calibri" w:hAnsi="Calibri"/>
                <w:sz w:val="23"/>
                <w:szCs w:val="23"/>
              </w:rPr>
              <w:t>.</w:t>
            </w:r>
            <w:r w:rsidRPr="003F2B4F">
              <w:rPr>
                <w:rFonts w:ascii="Calibri" w:hAnsi="Calibri"/>
                <w:sz w:val="23"/>
                <w:szCs w:val="23"/>
              </w:rPr>
              <w:t>46</w:t>
            </w:r>
            <w:r w:rsidR="00533524" w:rsidRPr="003F2B4F">
              <w:rPr>
                <w:rFonts w:ascii="Calibri" w:hAnsi="Calibri"/>
                <w:sz w:val="23"/>
                <w:szCs w:val="23"/>
              </w:rPr>
              <w:t>%</w:t>
            </w:r>
          </w:p>
        </w:tc>
      </w:tr>
    </w:tbl>
    <w:p w:rsidR="00533524" w:rsidRPr="003F2B4F" w:rsidRDefault="00533524" w:rsidP="003F2B4F">
      <w:pPr>
        <w:spacing w:after="0" w:line="240" w:lineRule="auto"/>
        <w:jc w:val="both"/>
        <w:rPr>
          <w:rFonts w:ascii="Calibri" w:hAnsi="Calibri"/>
          <w:sz w:val="24"/>
          <w:szCs w:val="24"/>
        </w:rPr>
      </w:pPr>
    </w:p>
    <w:p w:rsidR="008D40F0" w:rsidRDefault="00533524" w:rsidP="003F2B4F">
      <w:pPr>
        <w:spacing w:after="0" w:line="240" w:lineRule="auto"/>
        <w:jc w:val="both"/>
        <w:rPr>
          <w:rFonts w:ascii="Calibri" w:hAnsi="Calibri"/>
          <w:sz w:val="24"/>
          <w:szCs w:val="24"/>
        </w:rPr>
      </w:pPr>
      <w:r w:rsidRPr="003F2B4F">
        <w:rPr>
          <w:rFonts w:ascii="Calibri" w:hAnsi="Calibri"/>
          <w:sz w:val="24"/>
          <w:szCs w:val="24"/>
        </w:rPr>
        <w:t>The levels of these reductions were</w:t>
      </w:r>
      <w:r w:rsidR="00715B14" w:rsidRPr="003F2B4F">
        <w:rPr>
          <w:rFonts w:ascii="Calibri" w:hAnsi="Calibri"/>
          <w:sz w:val="24"/>
          <w:szCs w:val="24"/>
        </w:rPr>
        <w:t xml:space="preserve"> anticipated </w:t>
      </w:r>
      <w:proofErr w:type="gramStart"/>
      <w:r w:rsidR="00715B14" w:rsidRPr="003F2B4F">
        <w:rPr>
          <w:rFonts w:ascii="Calibri" w:hAnsi="Calibri"/>
          <w:sz w:val="24"/>
          <w:szCs w:val="24"/>
        </w:rPr>
        <w:t xml:space="preserve">and </w:t>
      </w:r>
      <w:r w:rsidRPr="003F2B4F">
        <w:rPr>
          <w:rFonts w:ascii="Calibri" w:hAnsi="Calibri"/>
          <w:sz w:val="24"/>
          <w:szCs w:val="24"/>
        </w:rPr>
        <w:t xml:space="preserve"> in</w:t>
      </w:r>
      <w:proofErr w:type="gramEnd"/>
      <w:r w:rsidRPr="003F2B4F">
        <w:rPr>
          <w:rFonts w:ascii="Calibri" w:hAnsi="Calibri"/>
          <w:sz w:val="24"/>
          <w:szCs w:val="24"/>
        </w:rPr>
        <w:t xml:space="preserve"> line with the approved settlement funding agreement awarded to the Council on the basis that it published an efficiency strategy during October 2016. </w:t>
      </w:r>
      <w:r w:rsidR="003F2B4F">
        <w:rPr>
          <w:rFonts w:ascii="Calibri" w:hAnsi="Calibri"/>
          <w:sz w:val="24"/>
          <w:szCs w:val="24"/>
        </w:rPr>
        <w:t xml:space="preserve"> </w:t>
      </w:r>
      <w:r w:rsidRPr="003F2B4F">
        <w:rPr>
          <w:rFonts w:ascii="Calibri" w:hAnsi="Calibri"/>
          <w:sz w:val="24"/>
          <w:szCs w:val="24"/>
        </w:rPr>
        <w:t xml:space="preserve">This gave the Council certainty of funding over the 4 year period to 2019/20. </w:t>
      </w:r>
    </w:p>
    <w:p w:rsidR="003F2B4F" w:rsidRPr="003F2B4F" w:rsidRDefault="003F2B4F" w:rsidP="003F2B4F">
      <w:pPr>
        <w:spacing w:after="0" w:line="240" w:lineRule="auto"/>
        <w:jc w:val="both"/>
        <w:rPr>
          <w:rFonts w:ascii="Calibri" w:hAnsi="Calibri"/>
          <w:sz w:val="24"/>
          <w:szCs w:val="24"/>
        </w:rPr>
      </w:pPr>
    </w:p>
    <w:p w:rsidR="00533524" w:rsidRDefault="00533524" w:rsidP="003F2B4F">
      <w:pPr>
        <w:spacing w:after="0" w:line="240" w:lineRule="auto"/>
        <w:jc w:val="both"/>
        <w:rPr>
          <w:rFonts w:ascii="Calibri" w:hAnsi="Calibri"/>
          <w:sz w:val="24"/>
          <w:szCs w:val="24"/>
        </w:rPr>
      </w:pPr>
      <w:r w:rsidRPr="003F2B4F">
        <w:rPr>
          <w:rFonts w:ascii="Calibri" w:hAnsi="Calibri"/>
          <w:sz w:val="24"/>
          <w:szCs w:val="24"/>
        </w:rPr>
        <w:t xml:space="preserve">The Commercial Strategy was approved at Policy </w:t>
      </w:r>
      <w:r w:rsidR="003F2B4F">
        <w:rPr>
          <w:rFonts w:ascii="Calibri" w:hAnsi="Calibri"/>
          <w:sz w:val="24"/>
          <w:szCs w:val="24"/>
        </w:rPr>
        <w:t>&amp;</w:t>
      </w:r>
      <w:r w:rsidRPr="003F2B4F">
        <w:rPr>
          <w:rFonts w:ascii="Calibri" w:hAnsi="Calibri"/>
          <w:sz w:val="24"/>
          <w:szCs w:val="24"/>
        </w:rPr>
        <w:t xml:space="preserve"> Finance 21 September 2017 with the aim of delivering positive financial returns to the Council’s General Fund.</w:t>
      </w:r>
    </w:p>
    <w:p w:rsidR="003F2B4F" w:rsidRDefault="003F2B4F" w:rsidP="003F2B4F">
      <w:pPr>
        <w:spacing w:after="0" w:line="240" w:lineRule="auto"/>
        <w:jc w:val="both"/>
        <w:rPr>
          <w:rFonts w:ascii="Calibri" w:hAnsi="Calibri"/>
          <w:sz w:val="24"/>
          <w:szCs w:val="24"/>
        </w:rPr>
      </w:pPr>
    </w:p>
    <w:p w:rsidR="00742A98" w:rsidRPr="003F2B4F" w:rsidRDefault="00742A98" w:rsidP="003F2B4F">
      <w:pPr>
        <w:spacing w:after="0" w:line="240" w:lineRule="auto"/>
        <w:jc w:val="both"/>
        <w:rPr>
          <w:rFonts w:ascii="Calibri" w:hAnsi="Calibri"/>
          <w:sz w:val="24"/>
          <w:szCs w:val="24"/>
        </w:rPr>
      </w:pPr>
    </w:p>
    <w:p w:rsidR="0078035F" w:rsidRDefault="0078035F" w:rsidP="003F2B4F">
      <w:pPr>
        <w:spacing w:after="0" w:line="240" w:lineRule="auto"/>
        <w:jc w:val="both"/>
        <w:rPr>
          <w:rFonts w:ascii="Calibri" w:hAnsi="Calibri"/>
          <w:sz w:val="24"/>
          <w:szCs w:val="24"/>
        </w:rPr>
      </w:pPr>
      <w:r w:rsidRPr="003F2B4F">
        <w:rPr>
          <w:rFonts w:ascii="Calibri" w:hAnsi="Calibri"/>
          <w:sz w:val="24"/>
          <w:szCs w:val="24"/>
        </w:rPr>
        <w:lastRenderedPageBreak/>
        <w:t>The Council’s income from fees and charges has been maintained over the period of the reductions in central government funding at around £4.5m. As can be seen from Table 4 this has predicted to remain stable for the 201</w:t>
      </w:r>
      <w:r w:rsidR="00E11B70" w:rsidRPr="003F2B4F">
        <w:rPr>
          <w:rFonts w:ascii="Calibri" w:hAnsi="Calibri"/>
          <w:sz w:val="24"/>
          <w:szCs w:val="24"/>
        </w:rPr>
        <w:t>9</w:t>
      </w:r>
      <w:r w:rsidRPr="003F2B4F">
        <w:rPr>
          <w:rFonts w:ascii="Calibri" w:hAnsi="Calibri"/>
          <w:sz w:val="24"/>
          <w:szCs w:val="24"/>
        </w:rPr>
        <w:t>/</w:t>
      </w:r>
      <w:r w:rsidR="00E11B70" w:rsidRPr="003F2B4F">
        <w:rPr>
          <w:rFonts w:ascii="Calibri" w:hAnsi="Calibri"/>
          <w:sz w:val="24"/>
          <w:szCs w:val="24"/>
        </w:rPr>
        <w:t>20</w:t>
      </w:r>
      <w:r w:rsidRPr="003F2B4F">
        <w:rPr>
          <w:rFonts w:ascii="Calibri" w:hAnsi="Calibri"/>
          <w:sz w:val="24"/>
          <w:szCs w:val="24"/>
        </w:rPr>
        <w:t xml:space="preserve"> financial year, inclusive of the income from partners at Castle House. </w:t>
      </w:r>
    </w:p>
    <w:p w:rsidR="003F2B4F" w:rsidRPr="003F2B4F" w:rsidRDefault="003F2B4F" w:rsidP="003F2B4F">
      <w:pPr>
        <w:spacing w:after="0" w:line="240" w:lineRule="auto"/>
        <w:jc w:val="both"/>
        <w:rPr>
          <w:rFonts w:ascii="Calibri" w:hAnsi="Calibri"/>
          <w:sz w:val="24"/>
          <w:szCs w:val="24"/>
        </w:rPr>
      </w:pPr>
    </w:p>
    <w:p w:rsidR="00F97021" w:rsidRDefault="0078035F" w:rsidP="003F2B4F">
      <w:pPr>
        <w:spacing w:after="0" w:line="240" w:lineRule="auto"/>
        <w:jc w:val="both"/>
        <w:rPr>
          <w:rFonts w:ascii="Calibri" w:hAnsi="Calibri"/>
          <w:sz w:val="24"/>
          <w:szCs w:val="24"/>
        </w:rPr>
      </w:pPr>
      <w:r w:rsidRPr="003F2B4F">
        <w:rPr>
          <w:rFonts w:ascii="Calibri" w:hAnsi="Calibri"/>
          <w:sz w:val="24"/>
          <w:szCs w:val="24"/>
        </w:rPr>
        <w:t>The total income needs to be increased significantly if the Council is to bridge the gap in funding in order to continue to deliver its current services and if it wants to meet the expectations and ambitions of the people of Newark and Sherwood.</w:t>
      </w:r>
      <w:r w:rsidR="00936BD4" w:rsidRPr="003F2B4F">
        <w:rPr>
          <w:rFonts w:ascii="Calibri" w:hAnsi="Calibri"/>
          <w:sz w:val="24"/>
          <w:szCs w:val="24"/>
        </w:rPr>
        <w:t xml:space="preserve"> This plan contains an estimate of savings delivered and additional income generated by the Commercial Strategy of £0.</w:t>
      </w:r>
      <w:r w:rsidR="00E11B70" w:rsidRPr="003F2B4F">
        <w:rPr>
          <w:rFonts w:ascii="Calibri" w:hAnsi="Calibri"/>
          <w:sz w:val="24"/>
          <w:szCs w:val="24"/>
        </w:rPr>
        <w:t>250</w:t>
      </w:r>
      <w:r w:rsidR="00936BD4" w:rsidRPr="003F2B4F">
        <w:rPr>
          <w:rFonts w:ascii="Calibri" w:hAnsi="Calibri"/>
          <w:sz w:val="24"/>
          <w:szCs w:val="24"/>
        </w:rPr>
        <w:t>m in each of the financial years.</w:t>
      </w:r>
      <w:r w:rsidR="00FB3391" w:rsidRPr="003F2B4F">
        <w:rPr>
          <w:rFonts w:ascii="Calibri" w:hAnsi="Calibri"/>
          <w:sz w:val="24"/>
          <w:szCs w:val="24"/>
        </w:rPr>
        <w:t xml:space="preserve"> </w:t>
      </w:r>
    </w:p>
    <w:p w:rsidR="003F2B4F" w:rsidRPr="003F2B4F" w:rsidRDefault="003F2B4F" w:rsidP="003F2B4F">
      <w:pPr>
        <w:spacing w:after="0" w:line="240" w:lineRule="auto"/>
        <w:jc w:val="both"/>
        <w:rPr>
          <w:rFonts w:ascii="Calibri" w:hAnsi="Calibri"/>
          <w:sz w:val="16"/>
          <w:szCs w:val="16"/>
        </w:rPr>
      </w:pPr>
    </w:p>
    <w:p w:rsidR="0078035F" w:rsidRDefault="0078035F" w:rsidP="003F2B4F">
      <w:pPr>
        <w:spacing w:after="0" w:line="240" w:lineRule="auto"/>
        <w:jc w:val="both"/>
        <w:rPr>
          <w:rFonts w:ascii="Calibri" w:hAnsi="Calibri"/>
          <w:sz w:val="24"/>
          <w:szCs w:val="24"/>
        </w:rPr>
      </w:pPr>
      <w:r w:rsidRPr="003F2B4F">
        <w:rPr>
          <w:rFonts w:ascii="Calibri" w:hAnsi="Calibri"/>
          <w:sz w:val="24"/>
          <w:szCs w:val="24"/>
        </w:rPr>
        <w:t xml:space="preserve">The Council is limited as to how much additional funding it can generate through Council Tax increases. As stated in section 1.5 the Council has the ability to increase Council </w:t>
      </w:r>
      <w:r w:rsidR="00C80158" w:rsidRPr="003F2B4F">
        <w:rPr>
          <w:rFonts w:ascii="Calibri" w:hAnsi="Calibri"/>
          <w:sz w:val="24"/>
          <w:szCs w:val="24"/>
        </w:rPr>
        <w:t>by the greater of 2.99% or £5. A 1% increase in Council Tax wi</w:t>
      </w:r>
      <w:r w:rsidR="00E11B70" w:rsidRPr="003F2B4F">
        <w:rPr>
          <w:rFonts w:ascii="Calibri" w:hAnsi="Calibri"/>
          <w:sz w:val="24"/>
          <w:szCs w:val="24"/>
        </w:rPr>
        <w:t>ll generate an additional £0.067m to the Council for the 2019</w:t>
      </w:r>
      <w:r w:rsidR="00C80158" w:rsidRPr="003F2B4F">
        <w:rPr>
          <w:rFonts w:ascii="Calibri" w:hAnsi="Calibri"/>
          <w:sz w:val="24"/>
          <w:szCs w:val="24"/>
        </w:rPr>
        <w:t>/</w:t>
      </w:r>
      <w:r w:rsidR="00E11B70" w:rsidRPr="003F2B4F">
        <w:rPr>
          <w:rFonts w:ascii="Calibri" w:hAnsi="Calibri"/>
          <w:sz w:val="24"/>
          <w:szCs w:val="24"/>
        </w:rPr>
        <w:t>20</w:t>
      </w:r>
      <w:r w:rsidR="00C80158" w:rsidRPr="003F2B4F">
        <w:rPr>
          <w:rFonts w:ascii="Calibri" w:hAnsi="Calibri"/>
          <w:sz w:val="24"/>
          <w:szCs w:val="24"/>
        </w:rPr>
        <w:t xml:space="preserve"> financial year. This </w:t>
      </w:r>
      <w:r w:rsidR="00A70807" w:rsidRPr="003F2B4F">
        <w:rPr>
          <w:rFonts w:ascii="Calibri" w:hAnsi="Calibri"/>
          <w:sz w:val="24"/>
          <w:szCs w:val="24"/>
        </w:rPr>
        <w:t>also takes into account the estimated increases in tax base as noted in section 1.5.</w:t>
      </w:r>
    </w:p>
    <w:p w:rsidR="003F2B4F" w:rsidRPr="003F2B4F" w:rsidRDefault="003F2B4F" w:rsidP="003F2B4F">
      <w:pPr>
        <w:spacing w:after="0" w:line="240" w:lineRule="auto"/>
        <w:jc w:val="both"/>
        <w:rPr>
          <w:rFonts w:ascii="Calibri" w:hAnsi="Calibri"/>
          <w:sz w:val="16"/>
          <w:szCs w:val="16"/>
        </w:rPr>
      </w:pPr>
    </w:p>
    <w:p w:rsidR="008A2766" w:rsidRDefault="008A2766" w:rsidP="003F2B4F">
      <w:pPr>
        <w:spacing w:after="0" w:line="240" w:lineRule="auto"/>
        <w:jc w:val="both"/>
        <w:rPr>
          <w:rFonts w:ascii="Calibri" w:hAnsi="Calibri"/>
          <w:sz w:val="24"/>
          <w:szCs w:val="24"/>
        </w:rPr>
      </w:pPr>
      <w:r w:rsidRPr="003F2B4F">
        <w:rPr>
          <w:rFonts w:ascii="Calibri" w:hAnsi="Calibri"/>
          <w:sz w:val="24"/>
          <w:szCs w:val="24"/>
        </w:rPr>
        <w:t xml:space="preserve">The formation of the Commercialisation and Major Projects team will lead on a range of commercialisation projects throughout the council. The Commercials Group, which was established in October 2017 is led by the Business Manager – Commercialisation and Major Projects and is made up of a selection of NSDC Officers who have a focus on commercial acumen. Both the Business Unit and the Commercials Group will focus on projects which attract new income streams to the council, maximise current income streams or offer significant savings to the council. </w:t>
      </w:r>
    </w:p>
    <w:p w:rsidR="003F2B4F" w:rsidRPr="003F2B4F" w:rsidRDefault="003F2B4F" w:rsidP="003F2B4F">
      <w:pPr>
        <w:spacing w:after="0" w:line="240" w:lineRule="auto"/>
        <w:jc w:val="both"/>
        <w:rPr>
          <w:rFonts w:ascii="Calibri" w:hAnsi="Calibri"/>
          <w:sz w:val="16"/>
          <w:szCs w:val="16"/>
        </w:rPr>
      </w:pPr>
    </w:p>
    <w:p w:rsidR="008A2766" w:rsidRPr="003F2B4F" w:rsidRDefault="008A2766" w:rsidP="003F2B4F">
      <w:pPr>
        <w:spacing w:after="0" w:line="240" w:lineRule="auto"/>
        <w:jc w:val="both"/>
        <w:rPr>
          <w:rFonts w:ascii="Calibri" w:hAnsi="Calibri"/>
          <w:sz w:val="24"/>
          <w:szCs w:val="24"/>
        </w:rPr>
      </w:pPr>
      <w:r w:rsidRPr="003F2B4F">
        <w:rPr>
          <w:rFonts w:ascii="Calibri" w:hAnsi="Calibri"/>
          <w:sz w:val="24"/>
          <w:szCs w:val="24"/>
        </w:rPr>
        <w:t xml:space="preserve">Each project will have a robust Business Case and will be examined as part of the normal committee activity. There are a range of projects in progress, some having already been completed. A financial tracking process is in place to ensure that forecast income is matched to actual income as implementation reaps the rewards of the project over a number of years. There are a range of new projects ready to be commenced and continued horizon scanning means that other opportunities can be taken as they present themselves. This is an agile and responsive programme which touches every part of the organisation. </w:t>
      </w:r>
    </w:p>
    <w:p w:rsidR="008A2766" w:rsidRPr="003F2B4F" w:rsidRDefault="008A2766" w:rsidP="003F2B4F">
      <w:pPr>
        <w:spacing w:after="0" w:line="240" w:lineRule="auto"/>
        <w:jc w:val="both"/>
        <w:rPr>
          <w:rFonts w:ascii="Calibri" w:hAnsi="Calibri"/>
          <w:sz w:val="16"/>
          <w:szCs w:val="16"/>
        </w:rPr>
      </w:pPr>
    </w:p>
    <w:p w:rsidR="00820AD0" w:rsidRPr="003F2B4F" w:rsidRDefault="00F3002A" w:rsidP="003F2B4F">
      <w:pPr>
        <w:spacing w:after="0" w:line="240" w:lineRule="auto"/>
        <w:jc w:val="both"/>
        <w:rPr>
          <w:rFonts w:ascii="Calibri" w:hAnsi="Calibri"/>
          <w:sz w:val="24"/>
          <w:szCs w:val="24"/>
        </w:rPr>
      </w:pPr>
      <w:r w:rsidRPr="003F2B4F">
        <w:rPr>
          <w:rFonts w:ascii="Calibri" w:hAnsi="Calibri"/>
          <w:b/>
          <w:sz w:val="24"/>
          <w:szCs w:val="24"/>
        </w:rPr>
        <w:t>1.11</w:t>
      </w:r>
      <w:r w:rsidR="00F712BC" w:rsidRPr="003F2B4F">
        <w:rPr>
          <w:rFonts w:ascii="Calibri" w:hAnsi="Calibri"/>
          <w:b/>
          <w:sz w:val="24"/>
          <w:szCs w:val="24"/>
        </w:rPr>
        <w:tab/>
      </w:r>
      <w:r w:rsidR="00820AD0" w:rsidRPr="003F2B4F">
        <w:rPr>
          <w:rFonts w:ascii="Calibri" w:hAnsi="Calibri"/>
          <w:b/>
          <w:sz w:val="24"/>
          <w:szCs w:val="24"/>
          <w:u w:val="single"/>
        </w:rPr>
        <w:t xml:space="preserve">Risks </w:t>
      </w:r>
      <w:r w:rsidR="003F2B4F">
        <w:rPr>
          <w:rFonts w:ascii="Calibri" w:hAnsi="Calibri"/>
          <w:b/>
          <w:sz w:val="24"/>
          <w:szCs w:val="24"/>
          <w:u w:val="single"/>
        </w:rPr>
        <w:t>A</w:t>
      </w:r>
      <w:r w:rsidR="00820AD0" w:rsidRPr="003F2B4F">
        <w:rPr>
          <w:rFonts w:ascii="Calibri" w:hAnsi="Calibri"/>
          <w:b/>
          <w:sz w:val="24"/>
          <w:szCs w:val="24"/>
          <w:u w:val="single"/>
        </w:rPr>
        <w:t xml:space="preserve">ssociated with the Budget </w:t>
      </w:r>
      <w:r w:rsidR="003F2B4F">
        <w:rPr>
          <w:rFonts w:ascii="Calibri" w:hAnsi="Calibri"/>
          <w:b/>
          <w:sz w:val="24"/>
          <w:szCs w:val="24"/>
          <w:u w:val="single"/>
        </w:rPr>
        <w:t>P</w:t>
      </w:r>
      <w:r w:rsidR="00820AD0" w:rsidRPr="003F2B4F">
        <w:rPr>
          <w:rFonts w:ascii="Calibri" w:hAnsi="Calibri"/>
          <w:b/>
          <w:sz w:val="24"/>
          <w:szCs w:val="24"/>
          <w:u w:val="single"/>
        </w:rPr>
        <w:t>rocess</w:t>
      </w:r>
    </w:p>
    <w:p w:rsidR="003F2B4F" w:rsidRPr="003F2B4F" w:rsidRDefault="003F2B4F" w:rsidP="003F2B4F">
      <w:pPr>
        <w:spacing w:after="0" w:line="240" w:lineRule="auto"/>
        <w:jc w:val="both"/>
        <w:rPr>
          <w:rFonts w:ascii="Calibri" w:hAnsi="Calibri"/>
          <w:sz w:val="16"/>
          <w:szCs w:val="16"/>
        </w:rPr>
      </w:pPr>
    </w:p>
    <w:p w:rsidR="00007F5C" w:rsidRPr="003F2B4F" w:rsidRDefault="008B1D6E" w:rsidP="003F2B4F">
      <w:pPr>
        <w:spacing w:after="0" w:line="240" w:lineRule="auto"/>
        <w:jc w:val="both"/>
        <w:rPr>
          <w:rFonts w:ascii="Calibri" w:hAnsi="Calibri"/>
          <w:sz w:val="24"/>
          <w:szCs w:val="24"/>
        </w:rPr>
      </w:pPr>
      <w:r w:rsidRPr="003F2B4F">
        <w:rPr>
          <w:rFonts w:ascii="Calibri" w:hAnsi="Calibri"/>
          <w:sz w:val="24"/>
          <w:szCs w:val="24"/>
        </w:rPr>
        <w:t>During 2017/18 the Council changed its process for reporting in year monitoring for financial performance. This process now involves forecasting the outturn position to the end of the financial year, rather than relying on year to date actual performance compared against year to date budget. This process is completed each month from period</w:t>
      </w:r>
      <w:r w:rsidR="00626A26" w:rsidRPr="003F2B4F">
        <w:rPr>
          <w:rFonts w:ascii="Calibri" w:hAnsi="Calibri"/>
          <w:sz w:val="24"/>
          <w:szCs w:val="24"/>
        </w:rPr>
        <w:t xml:space="preserve"> 3</w:t>
      </w:r>
      <w:r w:rsidR="006A59B0" w:rsidRPr="003F2B4F">
        <w:rPr>
          <w:rFonts w:ascii="Calibri" w:hAnsi="Calibri"/>
          <w:sz w:val="24"/>
          <w:szCs w:val="24"/>
        </w:rPr>
        <w:t xml:space="preserve"> and is reported </w:t>
      </w:r>
      <w:r w:rsidRPr="003F2B4F">
        <w:rPr>
          <w:rFonts w:ascii="Calibri" w:hAnsi="Calibri"/>
          <w:sz w:val="24"/>
          <w:szCs w:val="24"/>
        </w:rPr>
        <w:t xml:space="preserve">quarterly to the Policy and Finance Committee. </w:t>
      </w:r>
    </w:p>
    <w:p w:rsidR="003F2B4F" w:rsidRPr="003F2B4F" w:rsidRDefault="003F2B4F" w:rsidP="003F2B4F">
      <w:pPr>
        <w:spacing w:after="0" w:line="240" w:lineRule="auto"/>
        <w:jc w:val="both"/>
        <w:rPr>
          <w:rFonts w:ascii="Calibri" w:hAnsi="Calibri"/>
          <w:sz w:val="16"/>
          <w:szCs w:val="16"/>
        </w:rPr>
      </w:pPr>
    </w:p>
    <w:p w:rsidR="008B1D6E" w:rsidRDefault="008B1D6E" w:rsidP="003F2B4F">
      <w:pPr>
        <w:spacing w:after="0" w:line="240" w:lineRule="auto"/>
        <w:jc w:val="both"/>
        <w:rPr>
          <w:rFonts w:ascii="Calibri" w:hAnsi="Calibri"/>
          <w:sz w:val="24"/>
          <w:szCs w:val="24"/>
        </w:rPr>
      </w:pPr>
      <w:r w:rsidRPr="003F2B4F">
        <w:rPr>
          <w:rFonts w:ascii="Calibri" w:hAnsi="Calibri"/>
          <w:sz w:val="24"/>
          <w:szCs w:val="24"/>
        </w:rPr>
        <w:t>Creating a budget is only as accurate as the data compiled at that point in time and there are various risks associated with this. These include:</w:t>
      </w:r>
    </w:p>
    <w:p w:rsidR="003F2B4F" w:rsidRPr="003F2B4F" w:rsidRDefault="003F2B4F" w:rsidP="003F2B4F">
      <w:pPr>
        <w:spacing w:after="0" w:line="240" w:lineRule="auto"/>
        <w:jc w:val="both"/>
        <w:rPr>
          <w:rFonts w:ascii="Calibri" w:hAnsi="Calibri"/>
          <w:sz w:val="24"/>
          <w:szCs w:val="24"/>
        </w:rPr>
      </w:pPr>
    </w:p>
    <w:p w:rsidR="008B1D6E" w:rsidRPr="003F2B4F" w:rsidRDefault="008B1D6E" w:rsidP="003F2B4F">
      <w:pPr>
        <w:pStyle w:val="ListParagraph"/>
        <w:numPr>
          <w:ilvl w:val="0"/>
          <w:numId w:val="5"/>
        </w:numPr>
        <w:spacing w:after="0" w:line="240" w:lineRule="auto"/>
        <w:jc w:val="both"/>
        <w:rPr>
          <w:rFonts w:ascii="Calibri" w:hAnsi="Calibri"/>
          <w:sz w:val="24"/>
          <w:szCs w:val="24"/>
        </w:rPr>
      </w:pPr>
      <w:r w:rsidRPr="003F2B4F">
        <w:rPr>
          <w:rFonts w:ascii="Calibri" w:hAnsi="Calibri"/>
          <w:sz w:val="24"/>
          <w:szCs w:val="24"/>
        </w:rPr>
        <w:t>Inflation is underestimated in the original estimates</w:t>
      </w:r>
    </w:p>
    <w:p w:rsidR="008B1D6E" w:rsidRPr="003F2B4F" w:rsidRDefault="008B1D6E" w:rsidP="003F2B4F">
      <w:pPr>
        <w:pStyle w:val="ListParagraph"/>
        <w:numPr>
          <w:ilvl w:val="0"/>
          <w:numId w:val="5"/>
        </w:numPr>
        <w:spacing w:after="0" w:line="240" w:lineRule="auto"/>
        <w:jc w:val="both"/>
        <w:rPr>
          <w:rFonts w:ascii="Calibri" w:hAnsi="Calibri"/>
          <w:sz w:val="24"/>
          <w:szCs w:val="24"/>
        </w:rPr>
      </w:pPr>
      <w:r w:rsidRPr="003F2B4F">
        <w:rPr>
          <w:rFonts w:ascii="Calibri" w:hAnsi="Calibri"/>
          <w:sz w:val="24"/>
          <w:szCs w:val="24"/>
        </w:rPr>
        <w:t>Interest rates are underestimated</w:t>
      </w:r>
    </w:p>
    <w:p w:rsidR="008B1D6E" w:rsidRPr="003F2B4F" w:rsidRDefault="008B1D6E" w:rsidP="003F2B4F">
      <w:pPr>
        <w:pStyle w:val="ListParagraph"/>
        <w:numPr>
          <w:ilvl w:val="0"/>
          <w:numId w:val="5"/>
        </w:numPr>
        <w:spacing w:after="0" w:line="240" w:lineRule="auto"/>
        <w:jc w:val="both"/>
        <w:rPr>
          <w:rFonts w:ascii="Calibri" w:hAnsi="Calibri"/>
          <w:sz w:val="24"/>
          <w:szCs w:val="24"/>
        </w:rPr>
      </w:pPr>
      <w:r w:rsidRPr="003F2B4F">
        <w:rPr>
          <w:rFonts w:ascii="Calibri" w:hAnsi="Calibri"/>
          <w:sz w:val="24"/>
          <w:szCs w:val="24"/>
        </w:rPr>
        <w:t>Changes to grant funding allocations</w:t>
      </w:r>
    </w:p>
    <w:p w:rsidR="008B1D6E" w:rsidRPr="003F2B4F" w:rsidRDefault="008B1D6E" w:rsidP="003F2B4F">
      <w:pPr>
        <w:pStyle w:val="ListParagraph"/>
        <w:numPr>
          <w:ilvl w:val="0"/>
          <w:numId w:val="5"/>
        </w:numPr>
        <w:spacing w:after="0" w:line="240" w:lineRule="auto"/>
        <w:jc w:val="both"/>
        <w:rPr>
          <w:rFonts w:ascii="Calibri" w:hAnsi="Calibri"/>
          <w:sz w:val="24"/>
          <w:szCs w:val="24"/>
        </w:rPr>
      </w:pPr>
      <w:r w:rsidRPr="003F2B4F">
        <w:rPr>
          <w:rFonts w:ascii="Calibri" w:hAnsi="Calibri"/>
          <w:sz w:val="24"/>
          <w:szCs w:val="24"/>
        </w:rPr>
        <w:t>Some budgets are only indicative at the time the budget is agreed</w:t>
      </w:r>
    </w:p>
    <w:p w:rsidR="008B1D6E" w:rsidRPr="003F2B4F" w:rsidRDefault="008B1D6E" w:rsidP="003F2B4F">
      <w:pPr>
        <w:pStyle w:val="ListParagraph"/>
        <w:numPr>
          <w:ilvl w:val="0"/>
          <w:numId w:val="5"/>
        </w:numPr>
        <w:spacing w:after="0" w:line="240" w:lineRule="auto"/>
        <w:jc w:val="both"/>
        <w:rPr>
          <w:rFonts w:ascii="Calibri" w:hAnsi="Calibri"/>
          <w:sz w:val="24"/>
          <w:szCs w:val="24"/>
        </w:rPr>
      </w:pPr>
      <w:r w:rsidRPr="003F2B4F">
        <w:rPr>
          <w:rFonts w:ascii="Calibri" w:hAnsi="Calibri"/>
          <w:sz w:val="24"/>
          <w:szCs w:val="24"/>
        </w:rPr>
        <w:t>Volatility in some budget headings between years</w:t>
      </w:r>
    </w:p>
    <w:p w:rsidR="008B1D6E" w:rsidRPr="003F2B4F" w:rsidRDefault="008B1D6E" w:rsidP="003F2B4F">
      <w:pPr>
        <w:pStyle w:val="ListParagraph"/>
        <w:numPr>
          <w:ilvl w:val="0"/>
          <w:numId w:val="5"/>
        </w:numPr>
        <w:spacing w:after="0" w:line="240" w:lineRule="auto"/>
        <w:jc w:val="both"/>
        <w:rPr>
          <w:rFonts w:ascii="Calibri" w:hAnsi="Calibri"/>
          <w:sz w:val="24"/>
          <w:szCs w:val="24"/>
        </w:rPr>
      </w:pPr>
      <w:r w:rsidRPr="003F2B4F">
        <w:rPr>
          <w:rFonts w:ascii="Calibri" w:hAnsi="Calibri"/>
          <w:sz w:val="24"/>
          <w:szCs w:val="24"/>
        </w:rPr>
        <w:t>Efficiency gains expected in the agreed budget are not achieved</w:t>
      </w:r>
    </w:p>
    <w:p w:rsidR="008B1D6E" w:rsidRPr="003F2B4F" w:rsidRDefault="008B1D6E" w:rsidP="003F2B4F">
      <w:pPr>
        <w:pStyle w:val="ListParagraph"/>
        <w:numPr>
          <w:ilvl w:val="0"/>
          <w:numId w:val="5"/>
        </w:numPr>
        <w:spacing w:after="0" w:line="240" w:lineRule="auto"/>
        <w:jc w:val="both"/>
        <w:rPr>
          <w:rFonts w:ascii="Calibri" w:hAnsi="Calibri"/>
          <w:sz w:val="24"/>
          <w:szCs w:val="24"/>
        </w:rPr>
      </w:pPr>
      <w:r w:rsidRPr="003F2B4F">
        <w:rPr>
          <w:rFonts w:ascii="Calibri" w:hAnsi="Calibri"/>
          <w:sz w:val="24"/>
          <w:szCs w:val="24"/>
        </w:rPr>
        <w:t>Unforeseen insurance costs or legal claims</w:t>
      </w:r>
    </w:p>
    <w:p w:rsidR="008B1D6E" w:rsidRPr="003F2B4F" w:rsidRDefault="008B1D6E" w:rsidP="003F2B4F">
      <w:pPr>
        <w:pStyle w:val="ListParagraph"/>
        <w:numPr>
          <w:ilvl w:val="0"/>
          <w:numId w:val="5"/>
        </w:numPr>
        <w:spacing w:after="0" w:line="240" w:lineRule="auto"/>
        <w:jc w:val="both"/>
        <w:rPr>
          <w:rFonts w:ascii="Calibri" w:hAnsi="Calibri"/>
          <w:sz w:val="24"/>
          <w:szCs w:val="24"/>
        </w:rPr>
      </w:pPr>
      <w:r w:rsidRPr="003F2B4F">
        <w:rPr>
          <w:rFonts w:ascii="Calibri" w:hAnsi="Calibri"/>
          <w:sz w:val="24"/>
          <w:szCs w:val="24"/>
        </w:rPr>
        <w:t>Emergencies which cannot be foreseen which occur on an ad hoc basis</w:t>
      </w:r>
    </w:p>
    <w:p w:rsidR="008B1D6E" w:rsidRPr="003F2B4F" w:rsidRDefault="008B1D6E" w:rsidP="003F2B4F">
      <w:pPr>
        <w:pStyle w:val="ListParagraph"/>
        <w:numPr>
          <w:ilvl w:val="0"/>
          <w:numId w:val="5"/>
        </w:numPr>
        <w:spacing w:after="0" w:line="240" w:lineRule="auto"/>
        <w:jc w:val="both"/>
        <w:rPr>
          <w:rFonts w:ascii="Calibri" w:hAnsi="Calibri"/>
          <w:sz w:val="24"/>
          <w:szCs w:val="24"/>
        </w:rPr>
      </w:pPr>
      <w:r w:rsidRPr="003F2B4F">
        <w:rPr>
          <w:rFonts w:ascii="Calibri" w:hAnsi="Calibri"/>
          <w:sz w:val="24"/>
          <w:szCs w:val="24"/>
        </w:rPr>
        <w:lastRenderedPageBreak/>
        <w:t>Changes to budgets where targets are not met</w:t>
      </w:r>
    </w:p>
    <w:p w:rsidR="008B1D6E" w:rsidRPr="003F2B4F" w:rsidRDefault="008B1D6E" w:rsidP="003F2B4F">
      <w:pPr>
        <w:pStyle w:val="ListParagraph"/>
        <w:numPr>
          <w:ilvl w:val="0"/>
          <w:numId w:val="5"/>
        </w:numPr>
        <w:spacing w:after="0" w:line="240" w:lineRule="auto"/>
        <w:jc w:val="both"/>
        <w:rPr>
          <w:rFonts w:ascii="Calibri" w:hAnsi="Calibri"/>
          <w:sz w:val="24"/>
          <w:szCs w:val="24"/>
        </w:rPr>
      </w:pPr>
      <w:r w:rsidRPr="003F2B4F">
        <w:rPr>
          <w:rFonts w:ascii="Calibri" w:hAnsi="Calibri"/>
          <w:sz w:val="24"/>
          <w:szCs w:val="24"/>
        </w:rPr>
        <w:t>Financial guarantees/loans given by the Council</w:t>
      </w:r>
    </w:p>
    <w:p w:rsidR="008B1D6E" w:rsidRPr="003F2B4F" w:rsidRDefault="008B1D6E" w:rsidP="003F2B4F">
      <w:pPr>
        <w:pStyle w:val="ListParagraph"/>
        <w:numPr>
          <w:ilvl w:val="0"/>
          <w:numId w:val="5"/>
        </w:numPr>
        <w:spacing w:after="0" w:line="240" w:lineRule="auto"/>
        <w:jc w:val="both"/>
        <w:rPr>
          <w:rFonts w:ascii="Calibri" w:hAnsi="Calibri"/>
          <w:sz w:val="24"/>
          <w:szCs w:val="24"/>
        </w:rPr>
      </w:pPr>
      <w:r w:rsidRPr="003F2B4F">
        <w:rPr>
          <w:rFonts w:ascii="Calibri" w:hAnsi="Calibri"/>
          <w:sz w:val="24"/>
          <w:szCs w:val="24"/>
        </w:rPr>
        <w:t>Unforeseen events</w:t>
      </w:r>
    </w:p>
    <w:p w:rsidR="008B1D6E" w:rsidRPr="003F2B4F" w:rsidRDefault="004C74AC" w:rsidP="003F2B4F">
      <w:pPr>
        <w:pStyle w:val="ListParagraph"/>
        <w:numPr>
          <w:ilvl w:val="0"/>
          <w:numId w:val="5"/>
        </w:numPr>
        <w:spacing w:after="0" w:line="240" w:lineRule="auto"/>
        <w:jc w:val="both"/>
        <w:rPr>
          <w:rFonts w:ascii="Calibri" w:hAnsi="Calibri"/>
          <w:sz w:val="24"/>
          <w:szCs w:val="24"/>
        </w:rPr>
      </w:pPr>
      <w:r w:rsidRPr="003F2B4F">
        <w:rPr>
          <w:rFonts w:ascii="Calibri" w:hAnsi="Calibri"/>
          <w:sz w:val="24"/>
          <w:szCs w:val="24"/>
        </w:rPr>
        <w:t>Assumptions of growth of Business Rates does not materialise due to appeals</w:t>
      </w:r>
    </w:p>
    <w:p w:rsidR="003F2B4F" w:rsidRDefault="003F2B4F" w:rsidP="003F2B4F">
      <w:pPr>
        <w:spacing w:after="0" w:line="240" w:lineRule="auto"/>
        <w:jc w:val="both"/>
        <w:rPr>
          <w:rFonts w:ascii="Calibri" w:hAnsi="Calibri"/>
          <w:sz w:val="24"/>
          <w:szCs w:val="24"/>
        </w:rPr>
      </w:pPr>
    </w:p>
    <w:p w:rsidR="00626A26" w:rsidRDefault="00626A26" w:rsidP="003F2B4F">
      <w:pPr>
        <w:spacing w:after="0" w:line="240" w:lineRule="auto"/>
        <w:jc w:val="both"/>
        <w:rPr>
          <w:rFonts w:ascii="Calibri" w:hAnsi="Calibri"/>
          <w:sz w:val="24"/>
          <w:szCs w:val="24"/>
        </w:rPr>
      </w:pPr>
      <w:r w:rsidRPr="003F2B4F">
        <w:rPr>
          <w:rFonts w:ascii="Calibri" w:hAnsi="Calibri"/>
          <w:sz w:val="24"/>
          <w:szCs w:val="24"/>
        </w:rPr>
        <w:t>Under Section 25 of the Local Government Act 2004, the S151 Officer is charged with reporting the robustness of estimates made. This section fulfils that statutory requirement.</w:t>
      </w:r>
    </w:p>
    <w:p w:rsidR="00742A98" w:rsidRPr="003F2B4F" w:rsidRDefault="00742A98" w:rsidP="003F2B4F">
      <w:pPr>
        <w:spacing w:after="0" w:line="240" w:lineRule="auto"/>
        <w:jc w:val="both"/>
        <w:rPr>
          <w:rFonts w:ascii="Calibri" w:hAnsi="Calibri"/>
          <w:sz w:val="24"/>
          <w:szCs w:val="24"/>
        </w:rPr>
      </w:pPr>
    </w:p>
    <w:p w:rsidR="00626A26" w:rsidRDefault="00626A26" w:rsidP="003F2B4F">
      <w:pPr>
        <w:spacing w:after="0" w:line="240" w:lineRule="auto"/>
        <w:jc w:val="both"/>
        <w:rPr>
          <w:rFonts w:ascii="Calibri" w:hAnsi="Calibri"/>
          <w:sz w:val="24"/>
          <w:szCs w:val="24"/>
        </w:rPr>
      </w:pPr>
      <w:r w:rsidRPr="003F2B4F">
        <w:rPr>
          <w:rFonts w:ascii="Calibri" w:hAnsi="Calibri"/>
          <w:sz w:val="24"/>
          <w:szCs w:val="24"/>
        </w:rPr>
        <w:t>In considering the overall level of budget proposed and the sensitivity of income and expenditure levels it should be noted that:</w:t>
      </w:r>
    </w:p>
    <w:p w:rsidR="003F2B4F" w:rsidRPr="003F2B4F" w:rsidRDefault="003F2B4F" w:rsidP="003F2B4F">
      <w:pPr>
        <w:spacing w:after="0" w:line="240" w:lineRule="auto"/>
        <w:jc w:val="both"/>
        <w:rPr>
          <w:rFonts w:ascii="Calibri" w:hAnsi="Calibri"/>
          <w:sz w:val="24"/>
          <w:szCs w:val="24"/>
        </w:rPr>
      </w:pPr>
    </w:p>
    <w:p w:rsidR="00626A26" w:rsidRPr="003F2B4F" w:rsidRDefault="00626A26" w:rsidP="003F2B4F">
      <w:pPr>
        <w:spacing w:after="0" w:line="240" w:lineRule="auto"/>
        <w:jc w:val="both"/>
        <w:rPr>
          <w:rFonts w:ascii="Calibri" w:hAnsi="Calibri"/>
          <w:b/>
          <w:sz w:val="24"/>
          <w:szCs w:val="24"/>
        </w:rPr>
      </w:pPr>
      <w:r w:rsidRPr="003F2B4F">
        <w:rPr>
          <w:rFonts w:ascii="Calibri" w:hAnsi="Calibri"/>
          <w:b/>
          <w:sz w:val="24"/>
          <w:szCs w:val="24"/>
        </w:rPr>
        <w:t>Council Tax</w:t>
      </w:r>
    </w:p>
    <w:p w:rsidR="00626A26" w:rsidRPr="003F2B4F" w:rsidRDefault="00626A26" w:rsidP="003F2B4F">
      <w:pPr>
        <w:pStyle w:val="ListParagraph"/>
        <w:numPr>
          <w:ilvl w:val="0"/>
          <w:numId w:val="7"/>
        </w:numPr>
        <w:spacing w:after="0" w:line="240" w:lineRule="auto"/>
        <w:jc w:val="both"/>
        <w:rPr>
          <w:rFonts w:ascii="Calibri" w:hAnsi="Calibri"/>
          <w:b/>
          <w:sz w:val="24"/>
          <w:szCs w:val="24"/>
        </w:rPr>
      </w:pPr>
      <w:r w:rsidRPr="003F2B4F">
        <w:rPr>
          <w:rFonts w:ascii="Calibri" w:hAnsi="Calibri"/>
          <w:sz w:val="24"/>
          <w:szCs w:val="24"/>
        </w:rPr>
        <w:t>A 1% increase in Council tax is eq</w:t>
      </w:r>
      <w:r w:rsidR="00E11B70" w:rsidRPr="003F2B4F">
        <w:rPr>
          <w:rFonts w:ascii="Calibri" w:hAnsi="Calibri"/>
          <w:sz w:val="24"/>
          <w:szCs w:val="24"/>
        </w:rPr>
        <w:t>uivalent to an additional £0.067</w:t>
      </w:r>
      <w:r w:rsidRPr="003F2B4F">
        <w:rPr>
          <w:rFonts w:ascii="Calibri" w:hAnsi="Calibri"/>
          <w:sz w:val="24"/>
          <w:szCs w:val="24"/>
        </w:rPr>
        <w:t xml:space="preserve">m </w:t>
      </w:r>
    </w:p>
    <w:p w:rsidR="00626A26" w:rsidRPr="003F2B4F" w:rsidRDefault="00626A26" w:rsidP="003F2B4F">
      <w:pPr>
        <w:pStyle w:val="ListParagraph"/>
        <w:numPr>
          <w:ilvl w:val="0"/>
          <w:numId w:val="7"/>
        </w:numPr>
        <w:spacing w:after="0" w:line="240" w:lineRule="auto"/>
        <w:jc w:val="both"/>
        <w:rPr>
          <w:rFonts w:ascii="Calibri" w:hAnsi="Calibri"/>
          <w:b/>
          <w:sz w:val="24"/>
          <w:szCs w:val="24"/>
        </w:rPr>
      </w:pPr>
      <w:r w:rsidRPr="003F2B4F">
        <w:rPr>
          <w:rFonts w:ascii="Calibri" w:hAnsi="Calibri"/>
          <w:sz w:val="24"/>
          <w:szCs w:val="24"/>
        </w:rPr>
        <w:t>A £1 increase in Council tax is equivalent to an additional £0.03</w:t>
      </w:r>
      <w:r w:rsidR="00E11B70" w:rsidRPr="003F2B4F">
        <w:rPr>
          <w:rFonts w:ascii="Calibri" w:hAnsi="Calibri"/>
          <w:sz w:val="24"/>
          <w:szCs w:val="24"/>
        </w:rPr>
        <w:t>9</w:t>
      </w:r>
      <w:r w:rsidRPr="003F2B4F">
        <w:rPr>
          <w:rFonts w:ascii="Calibri" w:hAnsi="Calibri"/>
          <w:sz w:val="24"/>
          <w:szCs w:val="24"/>
        </w:rPr>
        <w:t>m</w:t>
      </w:r>
    </w:p>
    <w:p w:rsidR="003F2B4F" w:rsidRDefault="003F2B4F" w:rsidP="003F2B4F">
      <w:pPr>
        <w:spacing w:after="0" w:line="240" w:lineRule="auto"/>
        <w:jc w:val="both"/>
        <w:rPr>
          <w:rFonts w:ascii="Calibri" w:hAnsi="Calibri"/>
          <w:b/>
          <w:sz w:val="24"/>
          <w:szCs w:val="24"/>
        </w:rPr>
      </w:pPr>
    </w:p>
    <w:p w:rsidR="00626A26" w:rsidRPr="003F2B4F" w:rsidRDefault="00626A26" w:rsidP="003F2B4F">
      <w:pPr>
        <w:spacing w:after="0" w:line="240" w:lineRule="auto"/>
        <w:jc w:val="both"/>
        <w:rPr>
          <w:rFonts w:ascii="Calibri" w:hAnsi="Calibri"/>
          <w:b/>
          <w:sz w:val="24"/>
          <w:szCs w:val="24"/>
        </w:rPr>
      </w:pPr>
      <w:r w:rsidRPr="003F2B4F">
        <w:rPr>
          <w:rFonts w:ascii="Calibri" w:hAnsi="Calibri"/>
          <w:b/>
          <w:sz w:val="24"/>
          <w:szCs w:val="24"/>
        </w:rPr>
        <w:t>Staff Costs</w:t>
      </w:r>
    </w:p>
    <w:p w:rsidR="00626A26" w:rsidRDefault="00626A26" w:rsidP="003F2B4F">
      <w:pPr>
        <w:spacing w:after="0" w:line="240" w:lineRule="auto"/>
        <w:jc w:val="both"/>
        <w:rPr>
          <w:rFonts w:ascii="Calibri" w:hAnsi="Calibri"/>
          <w:sz w:val="24"/>
          <w:szCs w:val="24"/>
        </w:rPr>
      </w:pPr>
      <w:r w:rsidRPr="003F2B4F">
        <w:rPr>
          <w:rFonts w:ascii="Calibri" w:hAnsi="Calibri"/>
          <w:sz w:val="24"/>
          <w:szCs w:val="24"/>
        </w:rPr>
        <w:t xml:space="preserve">Staff costs currently make up </w:t>
      </w:r>
      <w:r w:rsidR="00F3002A" w:rsidRPr="003F2B4F">
        <w:rPr>
          <w:rFonts w:ascii="Calibri" w:hAnsi="Calibri"/>
          <w:sz w:val="24"/>
          <w:szCs w:val="24"/>
        </w:rPr>
        <w:t>57% of managed expenditure (gross expenditure excluding capital charges, recharges and Housing Benefits payments). This is not unique to Newark and Sherwood, but does cause an issue to the Council. Not only does the opportunity to</w:t>
      </w:r>
      <w:r w:rsidR="00052915" w:rsidRPr="003F2B4F">
        <w:rPr>
          <w:rFonts w:ascii="Calibri" w:hAnsi="Calibri"/>
          <w:sz w:val="24"/>
          <w:szCs w:val="24"/>
        </w:rPr>
        <w:t xml:space="preserve"> find non-employee savings become more difficult, any deviation in pay award against the budget could cause real issues. As mentioned at section 1.9, this MTFP has allowed for 2% pay award increase throughout its duration. A 1% increase (b</w:t>
      </w:r>
      <w:r w:rsidR="00E11B70" w:rsidRPr="003F2B4F">
        <w:rPr>
          <w:rFonts w:ascii="Calibri" w:hAnsi="Calibri"/>
          <w:sz w:val="24"/>
          <w:szCs w:val="24"/>
        </w:rPr>
        <w:t>ased on 19/20</w:t>
      </w:r>
      <w:r w:rsidR="00052915" w:rsidRPr="003F2B4F">
        <w:rPr>
          <w:rFonts w:ascii="Calibri" w:hAnsi="Calibri"/>
          <w:sz w:val="24"/>
          <w:szCs w:val="24"/>
        </w:rPr>
        <w:t xml:space="preserve"> pay) would bring about an increase of £</w:t>
      </w:r>
      <w:r w:rsidR="00E11B70" w:rsidRPr="003F2B4F">
        <w:rPr>
          <w:rFonts w:ascii="Calibri" w:hAnsi="Calibri"/>
          <w:sz w:val="24"/>
          <w:szCs w:val="24"/>
        </w:rPr>
        <w:t>0.120</w:t>
      </w:r>
      <w:r w:rsidR="00052915" w:rsidRPr="003F2B4F">
        <w:rPr>
          <w:rFonts w:ascii="Calibri" w:hAnsi="Calibri"/>
          <w:sz w:val="24"/>
          <w:szCs w:val="24"/>
        </w:rPr>
        <w:t>m that would have to be found from reserves.</w:t>
      </w:r>
    </w:p>
    <w:p w:rsidR="003F2B4F" w:rsidRPr="003F2B4F" w:rsidRDefault="003F2B4F" w:rsidP="003F2B4F">
      <w:pPr>
        <w:spacing w:after="0" w:line="240" w:lineRule="auto"/>
        <w:jc w:val="both"/>
        <w:rPr>
          <w:rFonts w:ascii="Calibri" w:hAnsi="Calibri"/>
          <w:sz w:val="24"/>
          <w:szCs w:val="24"/>
        </w:rPr>
      </w:pPr>
    </w:p>
    <w:p w:rsidR="00052915" w:rsidRPr="003F2B4F" w:rsidRDefault="00052915" w:rsidP="003F2B4F">
      <w:pPr>
        <w:spacing w:after="0" w:line="240" w:lineRule="auto"/>
        <w:jc w:val="both"/>
        <w:rPr>
          <w:rFonts w:ascii="Calibri" w:hAnsi="Calibri"/>
          <w:b/>
          <w:sz w:val="24"/>
          <w:szCs w:val="24"/>
        </w:rPr>
      </w:pPr>
      <w:r w:rsidRPr="003F2B4F">
        <w:rPr>
          <w:rFonts w:ascii="Calibri" w:hAnsi="Calibri"/>
          <w:b/>
          <w:sz w:val="24"/>
          <w:szCs w:val="24"/>
        </w:rPr>
        <w:t>Income from Fees and Charges</w:t>
      </w:r>
    </w:p>
    <w:p w:rsidR="00052915" w:rsidRDefault="00052915" w:rsidP="003F2B4F">
      <w:pPr>
        <w:spacing w:after="0" w:line="240" w:lineRule="auto"/>
        <w:jc w:val="both"/>
        <w:rPr>
          <w:rFonts w:ascii="Calibri" w:hAnsi="Calibri"/>
          <w:sz w:val="24"/>
          <w:szCs w:val="24"/>
        </w:rPr>
      </w:pPr>
      <w:r w:rsidRPr="003F2B4F">
        <w:rPr>
          <w:rFonts w:ascii="Calibri" w:hAnsi="Calibri"/>
          <w:sz w:val="24"/>
          <w:szCs w:val="24"/>
        </w:rPr>
        <w:t>A substantial part of the net budget requirement is dependent on the buoyancy of income streams; this offsetting the expenditure falling to be met from the General Fund and hence Council Taxpayers. Account has been taken within the forecasts of the levels of income which is considered to be achievable. However, any significant under performance on income will give rise to a subsequent increase in the net expenditure and therefore an unbudgeted demand on the General Fund balance. A 1% drop in income from fees and charges across all service areas would</w:t>
      </w:r>
      <w:r w:rsidR="006A59B0" w:rsidRPr="003F2B4F">
        <w:rPr>
          <w:rFonts w:ascii="Calibri" w:hAnsi="Calibri"/>
          <w:sz w:val="24"/>
          <w:szCs w:val="24"/>
        </w:rPr>
        <w:t xml:space="preserve"> be equivalent to (based on 2019/20</w:t>
      </w:r>
      <w:r w:rsidRPr="003F2B4F">
        <w:rPr>
          <w:rFonts w:ascii="Calibri" w:hAnsi="Calibri"/>
          <w:sz w:val="24"/>
          <w:szCs w:val="24"/>
        </w:rPr>
        <w:t xml:space="preserve"> budget) £</w:t>
      </w:r>
      <w:r w:rsidR="00E11B70" w:rsidRPr="003F2B4F">
        <w:rPr>
          <w:rFonts w:ascii="Calibri" w:hAnsi="Calibri"/>
          <w:sz w:val="24"/>
          <w:szCs w:val="24"/>
        </w:rPr>
        <w:t>0.046</w:t>
      </w:r>
      <w:r w:rsidRPr="003F2B4F">
        <w:rPr>
          <w:rFonts w:ascii="Calibri" w:hAnsi="Calibri"/>
          <w:sz w:val="24"/>
          <w:szCs w:val="24"/>
        </w:rPr>
        <w:t xml:space="preserve">m. </w:t>
      </w:r>
    </w:p>
    <w:p w:rsidR="003F2B4F" w:rsidRPr="003F2B4F" w:rsidRDefault="003F2B4F" w:rsidP="003F2B4F">
      <w:pPr>
        <w:spacing w:after="0" w:line="240" w:lineRule="auto"/>
        <w:jc w:val="both"/>
        <w:rPr>
          <w:rFonts w:ascii="Calibri" w:hAnsi="Calibri"/>
          <w:sz w:val="24"/>
          <w:szCs w:val="24"/>
        </w:rPr>
      </w:pPr>
    </w:p>
    <w:p w:rsidR="00687352" w:rsidRPr="003F2B4F" w:rsidRDefault="00FB5497" w:rsidP="003F2B4F">
      <w:pPr>
        <w:spacing w:after="0" w:line="240" w:lineRule="auto"/>
        <w:jc w:val="both"/>
        <w:rPr>
          <w:rFonts w:ascii="Calibri" w:hAnsi="Calibri"/>
          <w:b/>
          <w:sz w:val="24"/>
          <w:szCs w:val="24"/>
        </w:rPr>
      </w:pPr>
      <w:r w:rsidRPr="003F2B4F">
        <w:rPr>
          <w:rFonts w:ascii="Calibri" w:hAnsi="Calibri"/>
          <w:b/>
          <w:sz w:val="24"/>
          <w:szCs w:val="24"/>
        </w:rPr>
        <w:t>Interest Rates</w:t>
      </w:r>
    </w:p>
    <w:p w:rsidR="003E09AE" w:rsidRDefault="00FB5497" w:rsidP="003F2B4F">
      <w:pPr>
        <w:spacing w:after="0" w:line="240" w:lineRule="auto"/>
        <w:jc w:val="both"/>
        <w:rPr>
          <w:rFonts w:ascii="Calibri" w:hAnsi="Calibri"/>
          <w:sz w:val="24"/>
          <w:szCs w:val="24"/>
        </w:rPr>
      </w:pPr>
      <w:r w:rsidRPr="003F2B4F">
        <w:rPr>
          <w:rFonts w:ascii="Calibri" w:hAnsi="Calibri"/>
          <w:sz w:val="24"/>
          <w:szCs w:val="24"/>
        </w:rPr>
        <w:t xml:space="preserve">General Fund currently has no external borrowing </w:t>
      </w:r>
      <w:r w:rsidR="003E09AE" w:rsidRPr="003F2B4F">
        <w:rPr>
          <w:rFonts w:ascii="Calibri" w:hAnsi="Calibri"/>
          <w:sz w:val="24"/>
          <w:szCs w:val="24"/>
        </w:rPr>
        <w:t>and as such is not exposed to any re-financing risk if interest rates were to rise.</w:t>
      </w:r>
      <w:r w:rsidR="00E11B70" w:rsidRPr="003F2B4F">
        <w:rPr>
          <w:rFonts w:ascii="Calibri" w:hAnsi="Calibri"/>
          <w:sz w:val="24"/>
          <w:szCs w:val="24"/>
        </w:rPr>
        <w:t xml:space="preserve"> The Council is anticipating </w:t>
      </w:r>
      <w:proofErr w:type="gramStart"/>
      <w:r w:rsidR="00E11B70" w:rsidRPr="003F2B4F">
        <w:rPr>
          <w:rFonts w:ascii="Calibri" w:hAnsi="Calibri"/>
          <w:sz w:val="24"/>
          <w:szCs w:val="24"/>
        </w:rPr>
        <w:t>to borrow</w:t>
      </w:r>
      <w:proofErr w:type="gramEnd"/>
      <w:r w:rsidR="00E11B70" w:rsidRPr="003F2B4F">
        <w:rPr>
          <w:rFonts w:ascii="Calibri" w:hAnsi="Calibri"/>
          <w:sz w:val="24"/>
          <w:szCs w:val="24"/>
        </w:rPr>
        <w:t xml:space="preserve"> during the course of the 2019/20 financial year, which would lead to additional interest costs over the life of this MTFP. Fixed rate borrowing is proposed to be taken to alleviate any interest rate risks associated with variable rate borrowing to ensure certainty of costs over the life of the borrowing. Re-financing risk would therefore still not be applicable as the borrowing would span a life longer than this MTFP.</w:t>
      </w:r>
      <w:r w:rsidR="003E09AE" w:rsidRPr="003F2B4F">
        <w:rPr>
          <w:rFonts w:ascii="Calibri" w:hAnsi="Calibri"/>
          <w:sz w:val="24"/>
          <w:szCs w:val="24"/>
        </w:rPr>
        <w:t xml:space="preserve"> Investment income receivable is estimated taking into account various factors such as cash flow, level of capital receipts and payments, levels of reserves and balances and the anticipated interest rates achievable during the year. To the extent that variations occur in the above areas, the level of interest received in the year may fluctuate from that anticipated. The impact of a 1% interest rate change is not considered significant in terms of the Council’s net budget requirement.</w:t>
      </w:r>
    </w:p>
    <w:p w:rsidR="003F2B4F" w:rsidRDefault="003F2B4F" w:rsidP="003F2B4F">
      <w:pPr>
        <w:spacing w:after="0" w:line="240" w:lineRule="auto"/>
        <w:jc w:val="both"/>
        <w:rPr>
          <w:rFonts w:ascii="Calibri" w:hAnsi="Calibri"/>
          <w:sz w:val="24"/>
          <w:szCs w:val="24"/>
        </w:rPr>
      </w:pPr>
    </w:p>
    <w:p w:rsidR="00742A98" w:rsidRDefault="00742A98" w:rsidP="003F2B4F">
      <w:pPr>
        <w:spacing w:after="0" w:line="240" w:lineRule="auto"/>
        <w:jc w:val="both"/>
        <w:rPr>
          <w:rFonts w:ascii="Calibri" w:hAnsi="Calibri"/>
          <w:sz w:val="24"/>
          <w:szCs w:val="24"/>
        </w:rPr>
      </w:pPr>
    </w:p>
    <w:p w:rsidR="00742A98" w:rsidRDefault="00742A98" w:rsidP="003F2B4F">
      <w:pPr>
        <w:spacing w:after="0" w:line="240" w:lineRule="auto"/>
        <w:jc w:val="both"/>
        <w:rPr>
          <w:rFonts w:ascii="Calibri" w:hAnsi="Calibri"/>
          <w:sz w:val="24"/>
          <w:szCs w:val="24"/>
        </w:rPr>
      </w:pPr>
    </w:p>
    <w:p w:rsidR="00742A98" w:rsidRDefault="00742A98" w:rsidP="003F2B4F">
      <w:pPr>
        <w:spacing w:after="0" w:line="240" w:lineRule="auto"/>
        <w:jc w:val="both"/>
        <w:rPr>
          <w:rFonts w:ascii="Calibri" w:hAnsi="Calibri"/>
          <w:sz w:val="24"/>
          <w:szCs w:val="24"/>
        </w:rPr>
      </w:pPr>
    </w:p>
    <w:p w:rsidR="00742A98" w:rsidRPr="003F2B4F" w:rsidRDefault="00742A98" w:rsidP="003F2B4F">
      <w:pPr>
        <w:spacing w:after="0" w:line="240" w:lineRule="auto"/>
        <w:jc w:val="both"/>
        <w:rPr>
          <w:rFonts w:ascii="Calibri" w:hAnsi="Calibri"/>
          <w:sz w:val="24"/>
          <w:szCs w:val="24"/>
        </w:rPr>
      </w:pPr>
    </w:p>
    <w:p w:rsidR="003E09AE" w:rsidRPr="003F2B4F" w:rsidRDefault="003E09AE" w:rsidP="003F2B4F">
      <w:pPr>
        <w:spacing w:after="0" w:line="240" w:lineRule="auto"/>
        <w:jc w:val="both"/>
        <w:rPr>
          <w:rFonts w:ascii="Calibri" w:hAnsi="Calibri"/>
          <w:b/>
          <w:sz w:val="24"/>
          <w:szCs w:val="24"/>
        </w:rPr>
      </w:pPr>
      <w:r w:rsidRPr="003F2B4F">
        <w:rPr>
          <w:rFonts w:ascii="Calibri" w:hAnsi="Calibri"/>
          <w:b/>
          <w:sz w:val="24"/>
          <w:szCs w:val="24"/>
        </w:rPr>
        <w:lastRenderedPageBreak/>
        <w:t>Inflation</w:t>
      </w:r>
    </w:p>
    <w:p w:rsidR="003E09AE" w:rsidRPr="003F2B4F" w:rsidRDefault="003E09AE" w:rsidP="003F2B4F">
      <w:pPr>
        <w:pStyle w:val="BodyTextIndent"/>
        <w:tabs>
          <w:tab w:val="left" w:pos="993"/>
        </w:tabs>
        <w:spacing w:after="0" w:line="240" w:lineRule="auto"/>
        <w:ind w:left="0"/>
        <w:jc w:val="both"/>
        <w:rPr>
          <w:rFonts w:ascii="Calibri" w:hAnsi="Calibri" w:cs="Arial"/>
          <w:sz w:val="24"/>
          <w:szCs w:val="24"/>
        </w:rPr>
      </w:pPr>
      <w:r w:rsidRPr="003F2B4F">
        <w:rPr>
          <w:rFonts w:ascii="Calibri" w:hAnsi="Calibri" w:cs="Arial"/>
          <w:sz w:val="24"/>
          <w:szCs w:val="24"/>
        </w:rPr>
        <w:t xml:space="preserve">Inflation puts further pressure on non-pay budgets and there is a risk that this could impact on the level of expenditure included in the forecasts in this MTFP.  Services Units are, however required to stand the impact of general inflation within their budget targets and an allowance of 3% has been included within service budgets </w:t>
      </w:r>
      <w:r w:rsidR="000476E2" w:rsidRPr="003F2B4F">
        <w:rPr>
          <w:rFonts w:ascii="Calibri" w:hAnsi="Calibri" w:cs="Arial"/>
          <w:sz w:val="24"/>
          <w:szCs w:val="24"/>
        </w:rPr>
        <w:t>to accommodate this.</w:t>
      </w:r>
    </w:p>
    <w:p w:rsidR="00820AD0" w:rsidRPr="00742A98" w:rsidRDefault="00820AD0" w:rsidP="003F2B4F">
      <w:pPr>
        <w:pStyle w:val="BodyTextIndent"/>
        <w:tabs>
          <w:tab w:val="left" w:pos="993"/>
        </w:tabs>
        <w:spacing w:after="0" w:line="240" w:lineRule="auto"/>
        <w:ind w:left="0"/>
        <w:jc w:val="both"/>
        <w:rPr>
          <w:rFonts w:ascii="Calibri" w:hAnsi="Calibri" w:cs="Arial"/>
          <w:sz w:val="16"/>
          <w:szCs w:val="16"/>
        </w:rPr>
      </w:pPr>
    </w:p>
    <w:p w:rsidR="00820AD0" w:rsidRPr="003F2B4F" w:rsidRDefault="001C6B7E" w:rsidP="003F2B4F">
      <w:pPr>
        <w:spacing w:after="0" w:line="240" w:lineRule="auto"/>
        <w:jc w:val="both"/>
        <w:rPr>
          <w:rFonts w:ascii="Calibri" w:hAnsi="Calibri"/>
          <w:sz w:val="24"/>
          <w:szCs w:val="24"/>
        </w:rPr>
      </w:pPr>
      <w:r w:rsidRPr="003F2B4F">
        <w:rPr>
          <w:rFonts w:ascii="Calibri" w:hAnsi="Calibri"/>
          <w:b/>
          <w:sz w:val="24"/>
          <w:szCs w:val="24"/>
        </w:rPr>
        <w:t>1.1</w:t>
      </w:r>
      <w:r w:rsidR="00F3002A" w:rsidRPr="003F2B4F">
        <w:rPr>
          <w:rFonts w:ascii="Calibri" w:hAnsi="Calibri"/>
          <w:b/>
          <w:sz w:val="24"/>
          <w:szCs w:val="24"/>
        </w:rPr>
        <w:t>2</w:t>
      </w:r>
      <w:r w:rsidRPr="003F2B4F">
        <w:rPr>
          <w:rFonts w:ascii="Calibri" w:hAnsi="Calibri"/>
          <w:b/>
          <w:sz w:val="24"/>
          <w:szCs w:val="24"/>
        </w:rPr>
        <w:tab/>
      </w:r>
      <w:r w:rsidR="00820AD0" w:rsidRPr="003F2B4F">
        <w:rPr>
          <w:rFonts w:ascii="Calibri" w:hAnsi="Calibri"/>
          <w:b/>
          <w:sz w:val="24"/>
          <w:szCs w:val="24"/>
          <w:u w:val="single"/>
        </w:rPr>
        <w:t>Capital Investment Programme and Funding</w:t>
      </w:r>
    </w:p>
    <w:p w:rsidR="003F2B4F" w:rsidRPr="00742A98" w:rsidRDefault="003F2B4F" w:rsidP="003F2B4F">
      <w:pPr>
        <w:spacing w:after="0" w:line="240" w:lineRule="auto"/>
        <w:jc w:val="both"/>
        <w:rPr>
          <w:rFonts w:ascii="Calibri" w:hAnsi="Calibri"/>
          <w:sz w:val="16"/>
          <w:szCs w:val="16"/>
        </w:rPr>
      </w:pPr>
    </w:p>
    <w:p w:rsidR="00552E59" w:rsidRDefault="00552E59" w:rsidP="003F2B4F">
      <w:pPr>
        <w:spacing w:after="0" w:line="240" w:lineRule="auto"/>
        <w:jc w:val="both"/>
        <w:rPr>
          <w:rFonts w:ascii="Calibri" w:hAnsi="Calibri"/>
          <w:sz w:val="24"/>
          <w:szCs w:val="24"/>
        </w:rPr>
      </w:pPr>
      <w:r w:rsidRPr="003F2B4F">
        <w:rPr>
          <w:rFonts w:ascii="Calibri" w:hAnsi="Calibri"/>
          <w:sz w:val="24"/>
          <w:szCs w:val="24"/>
        </w:rPr>
        <w:t>The overall approved General Fund Capital Programme for the period from 2019/20 to 2022/23 totals £33.3m. £10.9m is financed by external grant funding for the Southern Link Road (SLR), Disabled Facilities Grant (DFG’s) and a specific piece of work in relation to flood alleviation in Lowdham. The grants in relation to the SLR and the flooding alleviation scheme in Lowdham have already been received and are held on the Council’s balance sheet as a conditional grant. The DFG funding is received via the Better Care Fund (BCF) and is subject to an annual bidding process.</w:t>
      </w:r>
    </w:p>
    <w:p w:rsidR="003F2B4F" w:rsidRPr="00742A98" w:rsidRDefault="003F2B4F" w:rsidP="003F2B4F">
      <w:pPr>
        <w:spacing w:after="0" w:line="240" w:lineRule="auto"/>
        <w:jc w:val="both"/>
        <w:rPr>
          <w:rFonts w:ascii="Calibri" w:hAnsi="Calibri"/>
          <w:sz w:val="16"/>
          <w:szCs w:val="16"/>
        </w:rPr>
      </w:pPr>
    </w:p>
    <w:p w:rsidR="00552E59" w:rsidRDefault="00552E59" w:rsidP="003F2B4F">
      <w:pPr>
        <w:spacing w:after="0" w:line="240" w:lineRule="auto"/>
        <w:jc w:val="both"/>
        <w:rPr>
          <w:rFonts w:ascii="Calibri" w:hAnsi="Calibri"/>
          <w:sz w:val="24"/>
          <w:szCs w:val="24"/>
        </w:rPr>
      </w:pPr>
      <w:r w:rsidRPr="003F2B4F">
        <w:rPr>
          <w:rFonts w:ascii="Calibri" w:hAnsi="Calibri"/>
          <w:sz w:val="24"/>
          <w:szCs w:val="24"/>
        </w:rPr>
        <w:t>Other external financing in the forms of contributions from external partners and S106 receipts amount to £3.8m. This relates to the project at Southwell Leisure Centre which includes £750k of Council expenditure in order to extend and improve facilities at the leisure centre to increase the membership base, and also an expectation of £3m of external financing towards the Castle Gatehouse project.</w:t>
      </w:r>
    </w:p>
    <w:p w:rsidR="003F2B4F" w:rsidRPr="00742A98" w:rsidRDefault="003F2B4F" w:rsidP="003F2B4F">
      <w:pPr>
        <w:spacing w:after="0" w:line="240" w:lineRule="auto"/>
        <w:jc w:val="both"/>
        <w:rPr>
          <w:rFonts w:ascii="Calibri" w:hAnsi="Calibri"/>
          <w:sz w:val="16"/>
          <w:szCs w:val="16"/>
        </w:rPr>
      </w:pPr>
    </w:p>
    <w:p w:rsidR="00552E59" w:rsidRDefault="00552E59" w:rsidP="003F2B4F">
      <w:pPr>
        <w:spacing w:after="0" w:line="240" w:lineRule="auto"/>
        <w:jc w:val="both"/>
        <w:rPr>
          <w:rFonts w:ascii="Calibri" w:hAnsi="Calibri"/>
          <w:sz w:val="24"/>
          <w:szCs w:val="24"/>
        </w:rPr>
      </w:pPr>
      <w:r w:rsidRPr="003F2B4F">
        <w:rPr>
          <w:rFonts w:ascii="Calibri" w:hAnsi="Calibri"/>
          <w:sz w:val="24"/>
          <w:szCs w:val="24"/>
        </w:rPr>
        <w:t xml:space="preserve">Council internal capital resources employed amount to £10.5m which relates to the equity investment in the Council’s Housing development company – Arkwood, the build of a modular pool at Ollerton, the match contribution to Southwell Leisure Centre (as described above), replacing parts of the Council’s refuse fleet and other equipment, enhancements to the </w:t>
      </w:r>
      <w:proofErr w:type="spellStart"/>
      <w:r w:rsidRPr="003F2B4F">
        <w:rPr>
          <w:rFonts w:ascii="Calibri" w:hAnsi="Calibri"/>
          <w:sz w:val="24"/>
          <w:szCs w:val="24"/>
        </w:rPr>
        <w:t>Buttermarket</w:t>
      </w:r>
      <w:proofErr w:type="spellEnd"/>
      <w:r w:rsidRPr="003F2B4F">
        <w:rPr>
          <w:rFonts w:ascii="Calibri" w:hAnsi="Calibri"/>
          <w:sz w:val="24"/>
          <w:szCs w:val="24"/>
        </w:rPr>
        <w:t xml:space="preserve"> and flood alleviation works across the District. </w:t>
      </w:r>
    </w:p>
    <w:p w:rsidR="003F2B4F" w:rsidRPr="00742A98" w:rsidRDefault="003F2B4F" w:rsidP="003F2B4F">
      <w:pPr>
        <w:spacing w:after="0" w:line="240" w:lineRule="auto"/>
        <w:jc w:val="both"/>
        <w:rPr>
          <w:rFonts w:ascii="Calibri" w:hAnsi="Calibri"/>
          <w:sz w:val="16"/>
          <w:szCs w:val="16"/>
        </w:rPr>
      </w:pPr>
    </w:p>
    <w:p w:rsidR="00552E59" w:rsidRDefault="00552E59" w:rsidP="003F2B4F">
      <w:pPr>
        <w:spacing w:after="0" w:line="240" w:lineRule="auto"/>
        <w:jc w:val="both"/>
        <w:rPr>
          <w:rFonts w:ascii="Calibri" w:hAnsi="Calibri"/>
          <w:sz w:val="24"/>
          <w:szCs w:val="24"/>
        </w:rPr>
      </w:pPr>
      <w:r w:rsidRPr="003F2B4F">
        <w:rPr>
          <w:rFonts w:ascii="Calibri" w:hAnsi="Calibri"/>
          <w:sz w:val="24"/>
          <w:szCs w:val="24"/>
        </w:rPr>
        <w:t>Borrowing is the balancing figure for the capital expenditure at £8.1m. This part of the capital programme is currently being financed by prudential borrowing, which attracts a charge to revenue. This charge is called the Minimum Revenue Provision (MRP) and provides for the capital expenditure funded by borrowing using a method approved by Council within the Treasury Management Strategy each year. The current method approved is the asset life method. This apportions notional borrowing incurred over the life of the asset, which is in line with the timeline for receiving economic benefits generated by the asset.</w:t>
      </w:r>
    </w:p>
    <w:p w:rsidR="003F2B4F" w:rsidRPr="00742A98" w:rsidRDefault="003F2B4F" w:rsidP="003F2B4F">
      <w:pPr>
        <w:spacing w:after="0" w:line="240" w:lineRule="auto"/>
        <w:jc w:val="both"/>
        <w:rPr>
          <w:rFonts w:ascii="Calibri" w:hAnsi="Calibri"/>
          <w:sz w:val="16"/>
          <w:szCs w:val="16"/>
        </w:rPr>
      </w:pPr>
    </w:p>
    <w:p w:rsidR="00552E59" w:rsidRDefault="00552E59" w:rsidP="003F2B4F">
      <w:pPr>
        <w:spacing w:after="0" w:line="240" w:lineRule="auto"/>
        <w:jc w:val="both"/>
        <w:rPr>
          <w:rFonts w:ascii="Calibri" w:hAnsi="Calibri"/>
          <w:sz w:val="24"/>
          <w:szCs w:val="24"/>
        </w:rPr>
      </w:pPr>
      <w:r w:rsidRPr="003F2B4F">
        <w:rPr>
          <w:rFonts w:ascii="Calibri" w:hAnsi="Calibri"/>
          <w:sz w:val="24"/>
          <w:szCs w:val="24"/>
        </w:rPr>
        <w:t>The current Capital resources available for allocation to Capital schemes (before any allocation of New Homes Bonus (NHB) from 2020/21 as proposed in section 1.6) is detailed below:</w:t>
      </w:r>
    </w:p>
    <w:p w:rsidR="003F2B4F" w:rsidRPr="00742A98" w:rsidRDefault="003F2B4F" w:rsidP="003F2B4F">
      <w:pPr>
        <w:spacing w:after="0" w:line="240" w:lineRule="auto"/>
        <w:jc w:val="both"/>
        <w:rPr>
          <w:rFonts w:ascii="Calibri" w:hAnsi="Calibri"/>
          <w:sz w:val="16"/>
          <w:szCs w:val="16"/>
        </w:rPr>
      </w:pPr>
    </w:p>
    <w:p w:rsidR="003A018D" w:rsidRPr="003F2B4F" w:rsidRDefault="00F3002A" w:rsidP="003F2B4F">
      <w:pPr>
        <w:spacing w:after="0" w:line="240" w:lineRule="auto"/>
        <w:jc w:val="both"/>
        <w:rPr>
          <w:rFonts w:ascii="Calibri" w:hAnsi="Calibri"/>
          <w:sz w:val="24"/>
          <w:szCs w:val="24"/>
        </w:rPr>
      </w:pPr>
      <w:r w:rsidRPr="003F2B4F">
        <w:rPr>
          <w:rFonts w:ascii="Calibri" w:hAnsi="Calibri"/>
          <w:sz w:val="24"/>
          <w:szCs w:val="24"/>
        </w:rPr>
        <w:t>Table 7</w:t>
      </w:r>
      <w:r w:rsidR="00C2127D" w:rsidRPr="003F2B4F">
        <w:rPr>
          <w:rFonts w:ascii="Calibri" w:hAnsi="Calibri"/>
          <w:sz w:val="24"/>
          <w:szCs w:val="24"/>
        </w:rPr>
        <w:t xml:space="preserve"> </w:t>
      </w:r>
    </w:p>
    <w:tbl>
      <w:tblPr>
        <w:tblW w:w="9776" w:type="dxa"/>
        <w:tblInd w:w="113" w:type="dxa"/>
        <w:tblLook w:val="04A0" w:firstRow="1" w:lastRow="0" w:firstColumn="1" w:lastColumn="0" w:noHBand="0" w:noVBand="1"/>
      </w:tblPr>
      <w:tblGrid>
        <w:gridCol w:w="2830"/>
        <w:gridCol w:w="1549"/>
        <w:gridCol w:w="1570"/>
        <w:gridCol w:w="1984"/>
        <w:gridCol w:w="1843"/>
      </w:tblGrid>
      <w:tr w:rsidR="00B305E9" w:rsidRPr="003F2B4F" w:rsidTr="00742A98">
        <w:trPr>
          <w:trHeight w:val="1011"/>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018D" w:rsidRPr="00F6716D" w:rsidRDefault="003F2B4F" w:rsidP="00742A98">
            <w:pPr>
              <w:spacing w:after="0" w:line="240" w:lineRule="auto"/>
              <w:rPr>
                <w:rFonts w:ascii="Calibri" w:eastAsia="Times New Roman" w:hAnsi="Calibri" w:cs="Times New Roman"/>
                <w:b/>
                <w:bCs/>
                <w:color w:val="000000"/>
                <w:sz w:val="23"/>
                <w:szCs w:val="23"/>
                <w:lang w:eastAsia="en-GB"/>
              </w:rPr>
            </w:pPr>
            <w:r w:rsidRPr="00F6716D">
              <w:rPr>
                <w:rFonts w:ascii="Calibri" w:eastAsia="Times New Roman" w:hAnsi="Calibri" w:cs="Times New Roman"/>
                <w:b/>
                <w:bCs/>
                <w:color w:val="000000"/>
                <w:sz w:val="23"/>
                <w:szCs w:val="23"/>
                <w:lang w:eastAsia="en-GB"/>
              </w:rPr>
              <w:t>Capital R</w:t>
            </w:r>
            <w:r w:rsidR="003A018D" w:rsidRPr="00F6716D">
              <w:rPr>
                <w:rFonts w:ascii="Calibri" w:eastAsia="Times New Roman" w:hAnsi="Calibri" w:cs="Times New Roman"/>
                <w:b/>
                <w:bCs/>
                <w:color w:val="000000"/>
                <w:sz w:val="23"/>
                <w:szCs w:val="23"/>
                <w:lang w:eastAsia="en-GB"/>
              </w:rPr>
              <w:t xml:space="preserve">esources </w:t>
            </w:r>
            <w:r w:rsidRPr="00F6716D">
              <w:rPr>
                <w:rFonts w:ascii="Calibri" w:eastAsia="Times New Roman" w:hAnsi="Calibri" w:cs="Times New Roman"/>
                <w:b/>
                <w:bCs/>
                <w:color w:val="000000"/>
                <w:sz w:val="23"/>
                <w:szCs w:val="23"/>
                <w:lang w:eastAsia="en-GB"/>
              </w:rPr>
              <w:t>A</w:t>
            </w:r>
            <w:r w:rsidR="003A018D" w:rsidRPr="00F6716D">
              <w:rPr>
                <w:rFonts w:ascii="Calibri" w:eastAsia="Times New Roman" w:hAnsi="Calibri" w:cs="Times New Roman"/>
                <w:b/>
                <w:bCs/>
                <w:color w:val="000000"/>
                <w:sz w:val="23"/>
                <w:szCs w:val="23"/>
                <w:lang w:eastAsia="en-GB"/>
              </w:rPr>
              <w:t>vailable</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rsidR="00B305E9" w:rsidRPr="00F6716D" w:rsidRDefault="003A018D" w:rsidP="00742A98">
            <w:pPr>
              <w:spacing w:after="0" w:line="240" w:lineRule="auto"/>
              <w:jc w:val="center"/>
              <w:rPr>
                <w:rFonts w:ascii="Calibri" w:eastAsia="Times New Roman" w:hAnsi="Calibri" w:cs="Times New Roman"/>
                <w:b/>
                <w:bCs/>
                <w:color w:val="000000"/>
                <w:sz w:val="23"/>
                <w:szCs w:val="23"/>
                <w:lang w:eastAsia="en-GB"/>
              </w:rPr>
            </w:pPr>
            <w:r w:rsidRPr="00F6716D">
              <w:rPr>
                <w:rFonts w:ascii="Calibri" w:eastAsia="Times New Roman" w:hAnsi="Calibri" w:cs="Times New Roman"/>
                <w:b/>
                <w:bCs/>
                <w:color w:val="000000"/>
                <w:sz w:val="23"/>
                <w:szCs w:val="23"/>
                <w:lang w:eastAsia="en-GB"/>
              </w:rPr>
              <w:t>Amount as at 1 April 2018</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B305E9" w:rsidRPr="00F6716D" w:rsidRDefault="003A018D" w:rsidP="00742A98">
            <w:pPr>
              <w:spacing w:after="0" w:line="240" w:lineRule="auto"/>
              <w:jc w:val="center"/>
              <w:rPr>
                <w:rFonts w:ascii="Calibri" w:eastAsia="Times New Roman" w:hAnsi="Calibri" w:cs="Times New Roman"/>
                <w:b/>
                <w:bCs/>
                <w:color w:val="000000"/>
                <w:sz w:val="23"/>
                <w:szCs w:val="23"/>
                <w:lang w:eastAsia="en-GB"/>
              </w:rPr>
            </w:pPr>
            <w:r w:rsidRPr="00F6716D">
              <w:rPr>
                <w:rFonts w:ascii="Calibri" w:eastAsia="Times New Roman" w:hAnsi="Calibri" w:cs="Times New Roman"/>
                <w:b/>
                <w:bCs/>
                <w:color w:val="000000"/>
                <w:sz w:val="23"/>
                <w:szCs w:val="23"/>
                <w:lang w:eastAsia="en-GB"/>
              </w:rPr>
              <w:t xml:space="preserve">Commitments </w:t>
            </w:r>
            <w:r w:rsidR="00A61987" w:rsidRPr="00F6716D">
              <w:rPr>
                <w:rFonts w:ascii="Calibri" w:eastAsia="Times New Roman" w:hAnsi="Calibri" w:cs="Times New Roman"/>
                <w:b/>
                <w:bCs/>
                <w:color w:val="000000"/>
                <w:sz w:val="23"/>
                <w:szCs w:val="23"/>
                <w:lang w:eastAsia="en-GB"/>
              </w:rPr>
              <w:t>20</w:t>
            </w:r>
            <w:r w:rsidRPr="00F6716D">
              <w:rPr>
                <w:rFonts w:ascii="Calibri" w:eastAsia="Times New Roman" w:hAnsi="Calibri" w:cs="Times New Roman"/>
                <w:b/>
                <w:bCs/>
                <w:color w:val="000000"/>
                <w:sz w:val="23"/>
                <w:szCs w:val="23"/>
                <w:lang w:eastAsia="en-GB"/>
              </w:rPr>
              <w:t>18/19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305E9" w:rsidRPr="00F6716D" w:rsidRDefault="00A61987" w:rsidP="00742A98">
            <w:pPr>
              <w:spacing w:after="0" w:line="240" w:lineRule="auto"/>
              <w:jc w:val="center"/>
              <w:rPr>
                <w:rFonts w:ascii="Calibri" w:eastAsia="Times New Roman" w:hAnsi="Calibri" w:cs="Times New Roman"/>
                <w:b/>
                <w:bCs/>
                <w:color w:val="000000"/>
                <w:sz w:val="23"/>
                <w:szCs w:val="23"/>
                <w:lang w:eastAsia="en-GB"/>
              </w:rPr>
            </w:pPr>
            <w:r w:rsidRPr="00F6716D">
              <w:rPr>
                <w:rFonts w:ascii="Calibri" w:eastAsia="Times New Roman" w:hAnsi="Calibri" w:cs="Times New Roman"/>
                <w:b/>
                <w:bCs/>
                <w:color w:val="000000"/>
                <w:sz w:val="23"/>
                <w:szCs w:val="23"/>
                <w:lang w:eastAsia="en-GB"/>
              </w:rPr>
              <w:t>20</w:t>
            </w:r>
            <w:r w:rsidR="00B305E9" w:rsidRPr="00F6716D">
              <w:rPr>
                <w:rFonts w:ascii="Calibri" w:eastAsia="Times New Roman" w:hAnsi="Calibri" w:cs="Times New Roman"/>
                <w:b/>
                <w:bCs/>
                <w:color w:val="000000"/>
                <w:sz w:val="23"/>
                <w:szCs w:val="23"/>
                <w:lang w:eastAsia="en-GB"/>
              </w:rPr>
              <w:t>19/20</w:t>
            </w:r>
            <w:r w:rsidR="00F6716D" w:rsidRPr="00F6716D">
              <w:rPr>
                <w:rFonts w:ascii="Calibri" w:eastAsia="Times New Roman" w:hAnsi="Calibri" w:cs="Times New Roman"/>
                <w:b/>
                <w:bCs/>
                <w:color w:val="000000"/>
                <w:sz w:val="23"/>
                <w:szCs w:val="23"/>
                <w:lang w:eastAsia="en-GB"/>
              </w:rPr>
              <w:t>-</w:t>
            </w:r>
            <w:r w:rsidRPr="00F6716D">
              <w:rPr>
                <w:rFonts w:ascii="Calibri" w:eastAsia="Times New Roman" w:hAnsi="Calibri" w:cs="Times New Roman"/>
                <w:b/>
                <w:bCs/>
                <w:color w:val="000000"/>
                <w:sz w:val="23"/>
                <w:szCs w:val="23"/>
                <w:lang w:eastAsia="en-GB"/>
              </w:rPr>
              <w:t>20</w:t>
            </w:r>
            <w:r w:rsidR="00CF569D" w:rsidRPr="00F6716D">
              <w:rPr>
                <w:rFonts w:ascii="Calibri" w:eastAsia="Times New Roman" w:hAnsi="Calibri" w:cs="Times New Roman"/>
                <w:b/>
                <w:bCs/>
                <w:color w:val="000000"/>
                <w:sz w:val="23"/>
                <w:szCs w:val="23"/>
                <w:lang w:eastAsia="en-GB"/>
              </w:rPr>
              <w:t>22/23</w:t>
            </w:r>
            <w:r w:rsidR="00742A98">
              <w:rPr>
                <w:rFonts w:ascii="Calibri" w:eastAsia="Times New Roman" w:hAnsi="Calibri" w:cs="Times New Roman"/>
                <w:b/>
                <w:bCs/>
                <w:color w:val="000000"/>
                <w:sz w:val="23"/>
                <w:szCs w:val="23"/>
                <w:lang w:eastAsia="en-GB"/>
              </w:rPr>
              <w:t xml:space="preserve"> </w:t>
            </w:r>
            <w:r w:rsidR="003A018D" w:rsidRPr="00F6716D">
              <w:rPr>
                <w:rFonts w:ascii="Calibri" w:eastAsia="Times New Roman" w:hAnsi="Calibri" w:cs="Times New Roman"/>
                <w:b/>
                <w:bCs/>
                <w:color w:val="000000"/>
                <w:sz w:val="23"/>
                <w:szCs w:val="23"/>
                <w:lang w:eastAsia="en-GB"/>
              </w:rPr>
              <w:t>Commitments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A018D" w:rsidRPr="00F6716D" w:rsidRDefault="00A61987" w:rsidP="00742A98">
            <w:pPr>
              <w:spacing w:after="0" w:line="240" w:lineRule="auto"/>
              <w:jc w:val="center"/>
              <w:rPr>
                <w:rFonts w:ascii="Calibri" w:eastAsia="Times New Roman" w:hAnsi="Calibri" w:cs="Times New Roman"/>
                <w:b/>
                <w:bCs/>
                <w:color w:val="000000"/>
                <w:sz w:val="23"/>
                <w:szCs w:val="23"/>
                <w:lang w:eastAsia="en-GB"/>
              </w:rPr>
            </w:pPr>
            <w:r w:rsidRPr="00F6716D">
              <w:rPr>
                <w:rFonts w:ascii="Calibri" w:eastAsia="Times New Roman" w:hAnsi="Calibri" w:cs="Times New Roman"/>
                <w:b/>
                <w:bCs/>
                <w:color w:val="000000"/>
                <w:sz w:val="23"/>
                <w:szCs w:val="23"/>
                <w:lang w:eastAsia="en-GB"/>
              </w:rPr>
              <w:t xml:space="preserve">Closing </w:t>
            </w:r>
            <w:r w:rsidR="00F6716D">
              <w:rPr>
                <w:rFonts w:ascii="Calibri" w:eastAsia="Times New Roman" w:hAnsi="Calibri" w:cs="Times New Roman"/>
                <w:b/>
                <w:bCs/>
                <w:color w:val="000000"/>
                <w:sz w:val="23"/>
                <w:szCs w:val="23"/>
                <w:lang w:eastAsia="en-GB"/>
              </w:rPr>
              <w:t>B</w:t>
            </w:r>
            <w:r w:rsidRPr="00F6716D">
              <w:rPr>
                <w:rFonts w:ascii="Calibri" w:eastAsia="Times New Roman" w:hAnsi="Calibri" w:cs="Times New Roman"/>
                <w:b/>
                <w:bCs/>
                <w:color w:val="000000"/>
                <w:sz w:val="23"/>
                <w:szCs w:val="23"/>
                <w:lang w:eastAsia="en-GB"/>
              </w:rPr>
              <w:t>alance</w:t>
            </w:r>
            <w:r w:rsidR="00F6716D" w:rsidRPr="00F6716D">
              <w:rPr>
                <w:rFonts w:ascii="Calibri" w:eastAsia="Times New Roman" w:hAnsi="Calibri" w:cs="Times New Roman"/>
                <w:b/>
                <w:bCs/>
                <w:color w:val="000000"/>
                <w:sz w:val="23"/>
                <w:szCs w:val="23"/>
                <w:lang w:eastAsia="en-GB"/>
              </w:rPr>
              <w:t xml:space="preserve"> 31</w:t>
            </w:r>
            <w:r w:rsidR="00CF569D" w:rsidRPr="00F6716D">
              <w:rPr>
                <w:rFonts w:ascii="Calibri" w:eastAsia="Times New Roman" w:hAnsi="Calibri" w:cs="Times New Roman"/>
                <w:b/>
                <w:bCs/>
                <w:color w:val="000000"/>
                <w:sz w:val="23"/>
                <w:szCs w:val="23"/>
                <w:lang w:eastAsia="en-GB"/>
              </w:rPr>
              <w:t xml:space="preserve"> March 2023</w:t>
            </w:r>
          </w:p>
        </w:tc>
      </w:tr>
      <w:tr w:rsidR="00552E59" w:rsidRPr="003F2B4F" w:rsidTr="00742A98">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52E59" w:rsidRPr="00F6716D" w:rsidRDefault="00552E59" w:rsidP="00742A98">
            <w:pPr>
              <w:spacing w:after="0" w:line="240" w:lineRule="auto"/>
              <w:rPr>
                <w:rFonts w:ascii="Calibri" w:eastAsia="Times New Roman" w:hAnsi="Calibri" w:cs="Times New Roman"/>
                <w:color w:val="000000"/>
                <w:sz w:val="23"/>
                <w:szCs w:val="23"/>
                <w:lang w:eastAsia="en-GB"/>
              </w:rPr>
            </w:pPr>
            <w:r w:rsidRPr="00F6716D">
              <w:rPr>
                <w:rFonts w:ascii="Calibri" w:eastAsia="Times New Roman" w:hAnsi="Calibri" w:cs="Times New Roman"/>
                <w:color w:val="000000"/>
                <w:sz w:val="23"/>
                <w:szCs w:val="23"/>
                <w:lang w:eastAsia="en-GB"/>
              </w:rPr>
              <w:t>Capital Financing Provision</w:t>
            </w:r>
          </w:p>
        </w:tc>
        <w:tc>
          <w:tcPr>
            <w:tcW w:w="1549" w:type="dxa"/>
            <w:tcBorders>
              <w:top w:val="nil"/>
              <w:left w:val="nil"/>
              <w:bottom w:val="single" w:sz="4" w:space="0" w:color="auto"/>
              <w:right w:val="single" w:sz="4" w:space="0" w:color="auto"/>
            </w:tcBorders>
            <w:shd w:val="clear" w:color="auto" w:fill="auto"/>
            <w:noWrap/>
            <w:vAlign w:val="center"/>
            <w:hideMark/>
          </w:tcPr>
          <w:p w:rsidR="00552E59" w:rsidRPr="00F6716D" w:rsidRDefault="00F6716D" w:rsidP="00F6716D">
            <w:pPr>
              <w:spacing w:after="0" w:line="240" w:lineRule="auto"/>
              <w:jc w:val="right"/>
              <w:rPr>
                <w:rFonts w:ascii="Calibri" w:eastAsia="Times New Roman" w:hAnsi="Calibri" w:cs="Times New Roman"/>
                <w:color w:val="000000"/>
                <w:sz w:val="23"/>
                <w:szCs w:val="23"/>
                <w:lang w:eastAsia="en-GB"/>
              </w:rPr>
            </w:pPr>
            <w:r>
              <w:rPr>
                <w:rFonts w:ascii="Calibri" w:eastAsia="Times New Roman" w:hAnsi="Calibri" w:cs="Times New Roman"/>
                <w:color w:val="000000"/>
                <w:sz w:val="23"/>
                <w:szCs w:val="23"/>
                <w:lang w:eastAsia="en-GB"/>
              </w:rPr>
              <w:t>1,321,307</w:t>
            </w:r>
          </w:p>
        </w:tc>
        <w:tc>
          <w:tcPr>
            <w:tcW w:w="1570" w:type="dxa"/>
            <w:tcBorders>
              <w:top w:val="nil"/>
              <w:left w:val="nil"/>
              <w:bottom w:val="single" w:sz="4" w:space="0" w:color="auto"/>
              <w:right w:val="single" w:sz="4" w:space="0" w:color="auto"/>
            </w:tcBorders>
            <w:shd w:val="clear" w:color="auto" w:fill="auto"/>
            <w:noWrap/>
            <w:vAlign w:val="center"/>
            <w:hideMark/>
          </w:tcPr>
          <w:p w:rsidR="00552E59" w:rsidRPr="00F6716D" w:rsidRDefault="00552E59" w:rsidP="00F6716D">
            <w:pPr>
              <w:spacing w:after="0" w:line="240" w:lineRule="auto"/>
              <w:jc w:val="right"/>
              <w:rPr>
                <w:rFonts w:ascii="Calibri" w:eastAsia="Times New Roman" w:hAnsi="Calibri" w:cs="Times New Roman"/>
                <w:color w:val="000000"/>
                <w:sz w:val="23"/>
                <w:szCs w:val="23"/>
                <w:lang w:eastAsia="en-GB"/>
              </w:rPr>
            </w:pPr>
            <w:r w:rsidRPr="00F6716D">
              <w:rPr>
                <w:rFonts w:ascii="Calibri" w:eastAsia="Times New Roman" w:hAnsi="Calibri" w:cs="Times New Roman"/>
                <w:color w:val="000000"/>
                <w:sz w:val="23"/>
                <w:szCs w:val="23"/>
                <w:lang w:eastAsia="en-GB"/>
              </w:rPr>
              <w:t xml:space="preserve">-278,276 </w:t>
            </w:r>
          </w:p>
        </w:tc>
        <w:tc>
          <w:tcPr>
            <w:tcW w:w="1984" w:type="dxa"/>
            <w:tcBorders>
              <w:top w:val="nil"/>
              <w:left w:val="nil"/>
              <w:bottom w:val="single" w:sz="4" w:space="0" w:color="auto"/>
              <w:right w:val="single" w:sz="4" w:space="0" w:color="auto"/>
            </w:tcBorders>
            <w:shd w:val="clear" w:color="auto" w:fill="auto"/>
            <w:noWrap/>
            <w:vAlign w:val="center"/>
            <w:hideMark/>
          </w:tcPr>
          <w:p w:rsidR="00552E59" w:rsidRPr="00F6716D" w:rsidRDefault="00552E59" w:rsidP="00F6716D">
            <w:pPr>
              <w:spacing w:after="0" w:line="240" w:lineRule="auto"/>
              <w:jc w:val="right"/>
              <w:rPr>
                <w:rFonts w:ascii="Calibri" w:eastAsia="Times New Roman" w:hAnsi="Calibri" w:cs="Times New Roman"/>
                <w:color w:val="000000"/>
                <w:sz w:val="23"/>
                <w:szCs w:val="23"/>
                <w:lang w:eastAsia="en-GB"/>
              </w:rPr>
            </w:pPr>
            <w:r w:rsidRPr="00F6716D">
              <w:rPr>
                <w:rFonts w:ascii="Calibri" w:eastAsia="Times New Roman" w:hAnsi="Calibri" w:cs="Times New Roman"/>
                <w:color w:val="000000"/>
                <w:sz w:val="23"/>
                <w:szCs w:val="23"/>
                <w:lang w:eastAsia="en-GB"/>
              </w:rPr>
              <w:t>-</w:t>
            </w:r>
            <w:r w:rsidR="00B1766D" w:rsidRPr="00F6716D">
              <w:rPr>
                <w:rFonts w:ascii="Calibri" w:eastAsia="Times New Roman" w:hAnsi="Calibri" w:cs="Times New Roman"/>
                <w:color w:val="000000"/>
                <w:sz w:val="23"/>
                <w:szCs w:val="23"/>
                <w:lang w:eastAsia="en-GB"/>
              </w:rPr>
              <w:t>249,184</w:t>
            </w:r>
          </w:p>
        </w:tc>
        <w:tc>
          <w:tcPr>
            <w:tcW w:w="1843" w:type="dxa"/>
            <w:tcBorders>
              <w:top w:val="nil"/>
              <w:left w:val="nil"/>
              <w:bottom w:val="single" w:sz="4" w:space="0" w:color="auto"/>
              <w:right w:val="single" w:sz="4" w:space="0" w:color="auto"/>
            </w:tcBorders>
            <w:shd w:val="clear" w:color="auto" w:fill="auto"/>
            <w:noWrap/>
            <w:vAlign w:val="center"/>
            <w:hideMark/>
          </w:tcPr>
          <w:p w:rsidR="00552E59" w:rsidRPr="00F6716D" w:rsidRDefault="00B1766D" w:rsidP="00F6716D">
            <w:pPr>
              <w:spacing w:after="0" w:line="240" w:lineRule="auto"/>
              <w:jc w:val="right"/>
              <w:rPr>
                <w:rFonts w:ascii="Calibri" w:eastAsia="Times New Roman" w:hAnsi="Calibri" w:cs="Times New Roman"/>
                <w:color w:val="000000"/>
                <w:sz w:val="23"/>
                <w:szCs w:val="23"/>
                <w:lang w:eastAsia="en-GB"/>
              </w:rPr>
            </w:pPr>
            <w:r w:rsidRPr="00F6716D">
              <w:rPr>
                <w:rFonts w:ascii="Calibri" w:eastAsia="Times New Roman" w:hAnsi="Calibri" w:cs="Times New Roman"/>
                <w:color w:val="000000"/>
                <w:sz w:val="23"/>
                <w:szCs w:val="23"/>
                <w:lang w:eastAsia="en-GB"/>
              </w:rPr>
              <w:t>793,847</w:t>
            </w:r>
          </w:p>
        </w:tc>
      </w:tr>
      <w:tr w:rsidR="00552E59" w:rsidRPr="003F2B4F" w:rsidTr="00742A98">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52E59" w:rsidRPr="00F6716D" w:rsidRDefault="00552E59" w:rsidP="00742A98">
            <w:pPr>
              <w:spacing w:after="0" w:line="240" w:lineRule="auto"/>
              <w:rPr>
                <w:rFonts w:ascii="Calibri" w:eastAsia="Times New Roman" w:hAnsi="Calibri" w:cs="Times New Roman"/>
                <w:color w:val="000000"/>
                <w:sz w:val="23"/>
                <w:szCs w:val="23"/>
                <w:lang w:eastAsia="en-GB"/>
              </w:rPr>
            </w:pPr>
            <w:r w:rsidRPr="00F6716D">
              <w:rPr>
                <w:rFonts w:ascii="Calibri" w:eastAsia="Times New Roman" w:hAnsi="Calibri" w:cs="Times New Roman"/>
                <w:color w:val="000000"/>
                <w:sz w:val="23"/>
                <w:szCs w:val="23"/>
                <w:lang w:eastAsia="en-GB"/>
              </w:rPr>
              <w:t>General Fund Capital Receipts</w:t>
            </w:r>
          </w:p>
        </w:tc>
        <w:tc>
          <w:tcPr>
            <w:tcW w:w="1549" w:type="dxa"/>
            <w:tcBorders>
              <w:top w:val="nil"/>
              <w:left w:val="nil"/>
              <w:bottom w:val="single" w:sz="4" w:space="0" w:color="auto"/>
              <w:right w:val="single" w:sz="4" w:space="0" w:color="auto"/>
            </w:tcBorders>
            <w:shd w:val="clear" w:color="auto" w:fill="auto"/>
            <w:noWrap/>
            <w:vAlign w:val="center"/>
            <w:hideMark/>
          </w:tcPr>
          <w:p w:rsidR="00552E59" w:rsidRPr="00F6716D" w:rsidRDefault="00552E59" w:rsidP="00F6716D">
            <w:pPr>
              <w:spacing w:after="0" w:line="240" w:lineRule="auto"/>
              <w:jc w:val="right"/>
              <w:rPr>
                <w:rFonts w:ascii="Calibri" w:eastAsia="Times New Roman" w:hAnsi="Calibri" w:cs="Times New Roman"/>
                <w:color w:val="000000"/>
                <w:sz w:val="23"/>
                <w:szCs w:val="23"/>
                <w:lang w:eastAsia="en-GB"/>
              </w:rPr>
            </w:pPr>
            <w:r w:rsidRPr="00F6716D">
              <w:rPr>
                <w:rFonts w:ascii="Calibri" w:eastAsia="Times New Roman" w:hAnsi="Calibri" w:cs="Times New Roman"/>
                <w:color w:val="000000"/>
                <w:sz w:val="23"/>
                <w:szCs w:val="23"/>
                <w:lang w:eastAsia="en-GB"/>
              </w:rPr>
              <w:t>2</w:t>
            </w:r>
            <w:r w:rsidR="00F6716D">
              <w:rPr>
                <w:rFonts w:ascii="Calibri" w:eastAsia="Times New Roman" w:hAnsi="Calibri" w:cs="Times New Roman"/>
                <w:color w:val="000000"/>
                <w:sz w:val="23"/>
                <w:szCs w:val="23"/>
                <w:lang w:eastAsia="en-GB"/>
              </w:rPr>
              <w:t>,911,723</w:t>
            </w:r>
          </w:p>
        </w:tc>
        <w:tc>
          <w:tcPr>
            <w:tcW w:w="1570" w:type="dxa"/>
            <w:tcBorders>
              <w:top w:val="nil"/>
              <w:left w:val="nil"/>
              <w:bottom w:val="single" w:sz="4" w:space="0" w:color="auto"/>
              <w:right w:val="single" w:sz="4" w:space="0" w:color="auto"/>
            </w:tcBorders>
            <w:shd w:val="clear" w:color="auto" w:fill="auto"/>
            <w:noWrap/>
            <w:vAlign w:val="center"/>
            <w:hideMark/>
          </w:tcPr>
          <w:p w:rsidR="00552E59" w:rsidRPr="00F6716D" w:rsidRDefault="00253102" w:rsidP="00F6716D">
            <w:pPr>
              <w:spacing w:after="0" w:line="240" w:lineRule="auto"/>
              <w:jc w:val="right"/>
              <w:rPr>
                <w:rFonts w:ascii="Calibri" w:eastAsia="Times New Roman" w:hAnsi="Calibri" w:cs="Times New Roman"/>
                <w:color w:val="000000"/>
                <w:sz w:val="23"/>
                <w:szCs w:val="23"/>
                <w:lang w:eastAsia="en-GB"/>
              </w:rPr>
            </w:pPr>
            <w:r w:rsidRPr="00F6716D">
              <w:rPr>
                <w:rFonts w:ascii="Calibri" w:eastAsia="Times New Roman" w:hAnsi="Calibri" w:cs="Times New Roman"/>
                <w:color w:val="000000"/>
                <w:sz w:val="23"/>
                <w:szCs w:val="23"/>
                <w:lang w:eastAsia="en-GB"/>
              </w:rPr>
              <w:t>-1,178,408</w:t>
            </w:r>
          </w:p>
        </w:tc>
        <w:tc>
          <w:tcPr>
            <w:tcW w:w="1984" w:type="dxa"/>
            <w:tcBorders>
              <w:top w:val="nil"/>
              <w:left w:val="nil"/>
              <w:bottom w:val="single" w:sz="4" w:space="0" w:color="auto"/>
              <w:right w:val="single" w:sz="4" w:space="0" w:color="auto"/>
            </w:tcBorders>
            <w:shd w:val="clear" w:color="auto" w:fill="auto"/>
            <w:noWrap/>
            <w:vAlign w:val="center"/>
            <w:hideMark/>
          </w:tcPr>
          <w:p w:rsidR="00552E59" w:rsidRPr="00F6716D" w:rsidRDefault="00552E59" w:rsidP="00F6716D">
            <w:pPr>
              <w:spacing w:after="0" w:line="240" w:lineRule="auto"/>
              <w:jc w:val="right"/>
              <w:rPr>
                <w:rFonts w:ascii="Calibri" w:eastAsia="Times New Roman" w:hAnsi="Calibri" w:cs="Times New Roman"/>
                <w:color w:val="000000"/>
                <w:sz w:val="23"/>
                <w:szCs w:val="23"/>
                <w:lang w:eastAsia="en-GB"/>
              </w:rPr>
            </w:pPr>
            <w:r w:rsidRPr="00F6716D">
              <w:rPr>
                <w:rFonts w:ascii="Calibri" w:eastAsia="Times New Roman" w:hAnsi="Calibri" w:cs="Times New Roman"/>
                <w:color w:val="000000"/>
                <w:sz w:val="23"/>
                <w:szCs w:val="23"/>
                <w:lang w:eastAsia="en-GB"/>
              </w:rPr>
              <w:t>-1,540,816</w:t>
            </w:r>
          </w:p>
        </w:tc>
        <w:tc>
          <w:tcPr>
            <w:tcW w:w="1843" w:type="dxa"/>
            <w:tcBorders>
              <w:top w:val="nil"/>
              <w:left w:val="nil"/>
              <w:bottom w:val="single" w:sz="4" w:space="0" w:color="auto"/>
              <w:right w:val="single" w:sz="4" w:space="0" w:color="auto"/>
            </w:tcBorders>
            <w:shd w:val="clear" w:color="auto" w:fill="auto"/>
            <w:noWrap/>
            <w:vAlign w:val="center"/>
            <w:hideMark/>
          </w:tcPr>
          <w:p w:rsidR="00552E59" w:rsidRPr="00F6716D" w:rsidRDefault="00253102" w:rsidP="00F6716D">
            <w:pPr>
              <w:spacing w:after="0" w:line="240" w:lineRule="auto"/>
              <w:jc w:val="right"/>
              <w:rPr>
                <w:rFonts w:ascii="Calibri" w:eastAsia="Times New Roman" w:hAnsi="Calibri" w:cs="Times New Roman"/>
                <w:color w:val="000000"/>
                <w:sz w:val="23"/>
                <w:szCs w:val="23"/>
                <w:lang w:eastAsia="en-GB"/>
              </w:rPr>
            </w:pPr>
            <w:r w:rsidRPr="00F6716D">
              <w:rPr>
                <w:rFonts w:ascii="Calibri" w:eastAsia="Times New Roman" w:hAnsi="Calibri" w:cs="Times New Roman"/>
                <w:color w:val="000000"/>
                <w:sz w:val="23"/>
                <w:szCs w:val="23"/>
                <w:lang w:eastAsia="en-GB"/>
              </w:rPr>
              <w:t>192,499</w:t>
            </w:r>
          </w:p>
        </w:tc>
      </w:tr>
      <w:tr w:rsidR="00552E59" w:rsidRPr="003F2B4F" w:rsidTr="00742A98">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52E59" w:rsidRPr="00F6716D" w:rsidRDefault="00552E59" w:rsidP="00742A98">
            <w:pPr>
              <w:spacing w:after="0" w:line="240" w:lineRule="auto"/>
              <w:rPr>
                <w:rFonts w:ascii="Calibri" w:eastAsia="Times New Roman" w:hAnsi="Calibri" w:cs="Times New Roman"/>
                <w:color w:val="000000"/>
                <w:sz w:val="23"/>
                <w:szCs w:val="23"/>
                <w:lang w:eastAsia="en-GB"/>
              </w:rPr>
            </w:pPr>
            <w:r w:rsidRPr="00F6716D">
              <w:rPr>
                <w:rFonts w:ascii="Calibri" w:eastAsia="Times New Roman" w:hAnsi="Calibri" w:cs="Times New Roman"/>
                <w:color w:val="000000"/>
                <w:sz w:val="23"/>
                <w:szCs w:val="23"/>
                <w:lang w:eastAsia="en-GB"/>
              </w:rPr>
              <w:t>Capital Grants &amp; Contributions Unapplied *</w:t>
            </w:r>
          </w:p>
        </w:tc>
        <w:tc>
          <w:tcPr>
            <w:tcW w:w="1549" w:type="dxa"/>
            <w:tcBorders>
              <w:top w:val="nil"/>
              <w:left w:val="nil"/>
              <w:bottom w:val="single" w:sz="4" w:space="0" w:color="auto"/>
              <w:right w:val="single" w:sz="4" w:space="0" w:color="auto"/>
            </w:tcBorders>
            <w:shd w:val="clear" w:color="auto" w:fill="auto"/>
            <w:noWrap/>
            <w:vAlign w:val="center"/>
            <w:hideMark/>
          </w:tcPr>
          <w:p w:rsidR="00552E59" w:rsidRPr="00F6716D" w:rsidRDefault="00F6716D" w:rsidP="00F6716D">
            <w:pPr>
              <w:spacing w:after="0" w:line="240" w:lineRule="auto"/>
              <w:jc w:val="right"/>
              <w:rPr>
                <w:rFonts w:ascii="Calibri" w:eastAsia="Times New Roman" w:hAnsi="Calibri" w:cs="Times New Roman"/>
                <w:color w:val="000000"/>
                <w:sz w:val="23"/>
                <w:szCs w:val="23"/>
                <w:lang w:eastAsia="en-GB"/>
              </w:rPr>
            </w:pPr>
            <w:r>
              <w:rPr>
                <w:rFonts w:ascii="Calibri" w:eastAsia="Times New Roman" w:hAnsi="Calibri" w:cs="Times New Roman"/>
                <w:color w:val="000000"/>
                <w:sz w:val="23"/>
                <w:szCs w:val="23"/>
                <w:lang w:eastAsia="en-GB"/>
              </w:rPr>
              <w:t>4,565,755</w:t>
            </w:r>
          </w:p>
        </w:tc>
        <w:tc>
          <w:tcPr>
            <w:tcW w:w="1570" w:type="dxa"/>
            <w:tcBorders>
              <w:top w:val="nil"/>
              <w:left w:val="nil"/>
              <w:bottom w:val="single" w:sz="4" w:space="0" w:color="auto"/>
              <w:right w:val="single" w:sz="4" w:space="0" w:color="auto"/>
            </w:tcBorders>
            <w:shd w:val="clear" w:color="auto" w:fill="auto"/>
            <w:noWrap/>
            <w:vAlign w:val="center"/>
            <w:hideMark/>
          </w:tcPr>
          <w:p w:rsidR="00552E59" w:rsidRPr="00F6716D" w:rsidRDefault="00552E59" w:rsidP="00F6716D">
            <w:pPr>
              <w:spacing w:after="0" w:line="240" w:lineRule="auto"/>
              <w:jc w:val="right"/>
              <w:rPr>
                <w:rFonts w:ascii="Calibri" w:eastAsia="Times New Roman" w:hAnsi="Calibri" w:cs="Times New Roman"/>
                <w:color w:val="000000"/>
                <w:sz w:val="23"/>
                <w:szCs w:val="23"/>
                <w:lang w:eastAsia="en-GB"/>
              </w:rPr>
            </w:pPr>
            <w:r w:rsidRPr="00F6716D">
              <w:rPr>
                <w:rFonts w:ascii="Calibri" w:eastAsia="Times New Roman" w:hAnsi="Calibri" w:cs="Times New Roman"/>
                <w:color w:val="000000"/>
                <w:sz w:val="23"/>
                <w:szCs w:val="23"/>
                <w:lang w:eastAsia="en-GB"/>
              </w:rPr>
              <w:t>935,091</w:t>
            </w:r>
          </w:p>
        </w:tc>
        <w:tc>
          <w:tcPr>
            <w:tcW w:w="1984" w:type="dxa"/>
            <w:tcBorders>
              <w:top w:val="nil"/>
              <w:left w:val="nil"/>
              <w:bottom w:val="single" w:sz="4" w:space="0" w:color="auto"/>
              <w:right w:val="single" w:sz="4" w:space="0" w:color="auto"/>
            </w:tcBorders>
            <w:shd w:val="clear" w:color="auto" w:fill="auto"/>
            <w:noWrap/>
            <w:vAlign w:val="center"/>
            <w:hideMark/>
          </w:tcPr>
          <w:p w:rsidR="00552E59" w:rsidRPr="00F6716D" w:rsidRDefault="00552E59" w:rsidP="00F6716D">
            <w:pPr>
              <w:spacing w:after="0" w:line="240" w:lineRule="auto"/>
              <w:jc w:val="right"/>
              <w:rPr>
                <w:rFonts w:ascii="Calibri" w:eastAsia="Times New Roman" w:hAnsi="Calibri" w:cs="Times New Roman"/>
                <w:color w:val="000000"/>
                <w:sz w:val="23"/>
                <w:szCs w:val="23"/>
                <w:lang w:eastAsia="en-GB"/>
              </w:rPr>
            </w:pPr>
            <w:r w:rsidRPr="00F6716D">
              <w:rPr>
                <w:rFonts w:ascii="Calibri" w:eastAsia="Times New Roman" w:hAnsi="Calibri" w:cs="Times New Roman"/>
                <w:color w:val="000000"/>
                <w:sz w:val="23"/>
                <w:szCs w:val="23"/>
                <w:lang w:eastAsia="en-GB"/>
              </w:rPr>
              <w:t>-1,214,779</w:t>
            </w:r>
          </w:p>
        </w:tc>
        <w:tc>
          <w:tcPr>
            <w:tcW w:w="1843" w:type="dxa"/>
            <w:tcBorders>
              <w:top w:val="nil"/>
              <w:left w:val="nil"/>
              <w:bottom w:val="single" w:sz="4" w:space="0" w:color="auto"/>
              <w:right w:val="single" w:sz="4" w:space="0" w:color="auto"/>
            </w:tcBorders>
            <w:shd w:val="clear" w:color="auto" w:fill="auto"/>
            <w:noWrap/>
            <w:vAlign w:val="center"/>
            <w:hideMark/>
          </w:tcPr>
          <w:p w:rsidR="00552E59" w:rsidRPr="00F6716D" w:rsidRDefault="00253102" w:rsidP="00F6716D">
            <w:pPr>
              <w:spacing w:after="0" w:line="240" w:lineRule="auto"/>
              <w:jc w:val="right"/>
              <w:rPr>
                <w:rFonts w:ascii="Calibri" w:eastAsia="Times New Roman" w:hAnsi="Calibri" w:cs="Times New Roman"/>
                <w:color w:val="000000"/>
                <w:sz w:val="23"/>
                <w:szCs w:val="23"/>
                <w:lang w:eastAsia="en-GB"/>
              </w:rPr>
            </w:pPr>
            <w:r w:rsidRPr="00F6716D">
              <w:rPr>
                <w:rFonts w:ascii="Calibri" w:eastAsia="Times New Roman" w:hAnsi="Calibri" w:cs="Times New Roman"/>
                <w:color w:val="000000"/>
                <w:sz w:val="23"/>
                <w:szCs w:val="23"/>
                <w:lang w:eastAsia="en-GB"/>
              </w:rPr>
              <w:t>4,286,067</w:t>
            </w:r>
          </w:p>
        </w:tc>
      </w:tr>
      <w:tr w:rsidR="00552E59" w:rsidRPr="003F2B4F" w:rsidTr="00742A98">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52E59" w:rsidRPr="00F6716D" w:rsidRDefault="00552E59" w:rsidP="00742A98">
            <w:pPr>
              <w:spacing w:after="0" w:line="240" w:lineRule="auto"/>
              <w:rPr>
                <w:rFonts w:ascii="Calibri" w:eastAsia="Times New Roman" w:hAnsi="Calibri" w:cs="Times New Roman"/>
                <w:b/>
                <w:bCs/>
                <w:color w:val="000000"/>
                <w:sz w:val="23"/>
                <w:szCs w:val="23"/>
                <w:lang w:eastAsia="en-GB"/>
              </w:rPr>
            </w:pPr>
            <w:r w:rsidRPr="00F6716D">
              <w:rPr>
                <w:rFonts w:ascii="Calibri" w:eastAsia="Times New Roman" w:hAnsi="Calibri" w:cs="Times New Roman"/>
                <w:b/>
                <w:bCs/>
                <w:color w:val="000000"/>
                <w:sz w:val="23"/>
                <w:szCs w:val="23"/>
                <w:lang w:eastAsia="en-GB"/>
              </w:rPr>
              <w:t>Total resources available</w:t>
            </w:r>
          </w:p>
        </w:tc>
        <w:tc>
          <w:tcPr>
            <w:tcW w:w="1549" w:type="dxa"/>
            <w:tcBorders>
              <w:top w:val="nil"/>
              <w:left w:val="nil"/>
              <w:bottom w:val="single" w:sz="4" w:space="0" w:color="auto"/>
              <w:right w:val="single" w:sz="4" w:space="0" w:color="auto"/>
            </w:tcBorders>
            <w:shd w:val="clear" w:color="auto" w:fill="auto"/>
            <w:noWrap/>
            <w:vAlign w:val="center"/>
            <w:hideMark/>
          </w:tcPr>
          <w:p w:rsidR="00552E59" w:rsidRPr="00F6716D" w:rsidRDefault="00F6716D" w:rsidP="00F6716D">
            <w:pPr>
              <w:spacing w:after="0" w:line="240" w:lineRule="auto"/>
              <w:jc w:val="right"/>
              <w:rPr>
                <w:rFonts w:ascii="Calibri" w:eastAsia="Times New Roman" w:hAnsi="Calibri" w:cs="Times New Roman"/>
                <w:b/>
                <w:bCs/>
                <w:color w:val="000000"/>
                <w:sz w:val="23"/>
                <w:szCs w:val="23"/>
                <w:lang w:eastAsia="en-GB"/>
              </w:rPr>
            </w:pPr>
            <w:r>
              <w:rPr>
                <w:rFonts w:ascii="Calibri" w:eastAsia="Times New Roman" w:hAnsi="Calibri" w:cs="Times New Roman"/>
                <w:b/>
                <w:bCs/>
                <w:color w:val="000000"/>
                <w:sz w:val="23"/>
                <w:szCs w:val="23"/>
                <w:lang w:eastAsia="en-GB"/>
              </w:rPr>
              <w:t>8,798,785</w:t>
            </w:r>
          </w:p>
        </w:tc>
        <w:tc>
          <w:tcPr>
            <w:tcW w:w="1570" w:type="dxa"/>
            <w:tcBorders>
              <w:top w:val="nil"/>
              <w:left w:val="nil"/>
              <w:bottom w:val="single" w:sz="4" w:space="0" w:color="auto"/>
              <w:right w:val="single" w:sz="4" w:space="0" w:color="auto"/>
            </w:tcBorders>
            <w:shd w:val="clear" w:color="auto" w:fill="auto"/>
            <w:noWrap/>
            <w:vAlign w:val="center"/>
            <w:hideMark/>
          </w:tcPr>
          <w:p w:rsidR="00552E59" w:rsidRPr="00F6716D" w:rsidRDefault="00FD418D" w:rsidP="00F6716D">
            <w:pPr>
              <w:spacing w:after="0" w:line="240" w:lineRule="auto"/>
              <w:jc w:val="right"/>
              <w:rPr>
                <w:rFonts w:ascii="Calibri" w:eastAsia="Times New Roman" w:hAnsi="Calibri" w:cs="Times New Roman"/>
                <w:b/>
                <w:bCs/>
                <w:color w:val="000000"/>
                <w:sz w:val="23"/>
                <w:szCs w:val="23"/>
                <w:lang w:eastAsia="en-GB"/>
              </w:rPr>
            </w:pPr>
            <w:r w:rsidRPr="00F6716D">
              <w:rPr>
                <w:rFonts w:ascii="Calibri" w:eastAsia="Times New Roman" w:hAnsi="Calibri" w:cs="Times New Roman"/>
                <w:b/>
                <w:bCs/>
                <w:color w:val="000000"/>
                <w:sz w:val="23"/>
                <w:szCs w:val="23"/>
                <w:lang w:eastAsia="en-GB"/>
              </w:rPr>
              <w:t>-521,593</w:t>
            </w:r>
          </w:p>
        </w:tc>
        <w:tc>
          <w:tcPr>
            <w:tcW w:w="1984" w:type="dxa"/>
            <w:tcBorders>
              <w:top w:val="nil"/>
              <w:left w:val="nil"/>
              <w:bottom w:val="single" w:sz="4" w:space="0" w:color="auto"/>
              <w:right w:val="single" w:sz="4" w:space="0" w:color="auto"/>
            </w:tcBorders>
            <w:shd w:val="clear" w:color="auto" w:fill="auto"/>
            <w:noWrap/>
            <w:vAlign w:val="center"/>
            <w:hideMark/>
          </w:tcPr>
          <w:p w:rsidR="00552E59" w:rsidRPr="00F6716D" w:rsidRDefault="00253102" w:rsidP="00F6716D">
            <w:pPr>
              <w:spacing w:after="0" w:line="240" w:lineRule="auto"/>
              <w:jc w:val="right"/>
              <w:rPr>
                <w:rFonts w:ascii="Calibri" w:eastAsia="Times New Roman" w:hAnsi="Calibri" w:cs="Times New Roman"/>
                <w:b/>
                <w:bCs/>
                <w:color w:val="000000"/>
                <w:sz w:val="23"/>
                <w:szCs w:val="23"/>
                <w:lang w:eastAsia="en-GB"/>
              </w:rPr>
            </w:pPr>
            <w:r w:rsidRPr="00F6716D">
              <w:rPr>
                <w:rFonts w:ascii="Calibri" w:eastAsia="Times New Roman" w:hAnsi="Calibri" w:cs="Times New Roman"/>
                <w:b/>
                <w:bCs/>
                <w:color w:val="000000"/>
                <w:sz w:val="23"/>
                <w:szCs w:val="23"/>
                <w:lang w:eastAsia="en-GB"/>
              </w:rPr>
              <w:t>-3,</w:t>
            </w:r>
            <w:r w:rsidR="00B1766D" w:rsidRPr="00F6716D">
              <w:rPr>
                <w:rFonts w:ascii="Calibri" w:eastAsia="Times New Roman" w:hAnsi="Calibri" w:cs="Times New Roman"/>
                <w:b/>
                <w:bCs/>
                <w:color w:val="000000"/>
                <w:sz w:val="23"/>
                <w:szCs w:val="23"/>
                <w:lang w:eastAsia="en-GB"/>
              </w:rPr>
              <w:t>00</w:t>
            </w:r>
            <w:r w:rsidRPr="00F6716D">
              <w:rPr>
                <w:rFonts w:ascii="Calibri" w:eastAsia="Times New Roman" w:hAnsi="Calibri" w:cs="Times New Roman"/>
                <w:b/>
                <w:bCs/>
                <w:color w:val="000000"/>
                <w:sz w:val="23"/>
                <w:szCs w:val="23"/>
                <w:lang w:eastAsia="en-GB"/>
              </w:rPr>
              <w:t>4,779</w:t>
            </w:r>
          </w:p>
        </w:tc>
        <w:tc>
          <w:tcPr>
            <w:tcW w:w="1843" w:type="dxa"/>
            <w:tcBorders>
              <w:top w:val="nil"/>
              <w:left w:val="nil"/>
              <w:bottom w:val="single" w:sz="4" w:space="0" w:color="auto"/>
              <w:right w:val="single" w:sz="4" w:space="0" w:color="auto"/>
            </w:tcBorders>
            <w:shd w:val="clear" w:color="auto" w:fill="auto"/>
            <w:noWrap/>
            <w:vAlign w:val="center"/>
            <w:hideMark/>
          </w:tcPr>
          <w:p w:rsidR="00552E59" w:rsidRPr="00F6716D" w:rsidRDefault="00B1766D" w:rsidP="00F6716D">
            <w:pPr>
              <w:spacing w:after="0" w:line="240" w:lineRule="auto"/>
              <w:jc w:val="right"/>
              <w:rPr>
                <w:rFonts w:ascii="Calibri" w:eastAsia="Times New Roman" w:hAnsi="Calibri" w:cs="Times New Roman"/>
                <w:b/>
                <w:bCs/>
                <w:color w:val="000000"/>
                <w:sz w:val="23"/>
                <w:szCs w:val="23"/>
                <w:lang w:eastAsia="en-GB"/>
              </w:rPr>
            </w:pPr>
            <w:r w:rsidRPr="00F6716D">
              <w:rPr>
                <w:rFonts w:ascii="Calibri" w:eastAsia="Times New Roman" w:hAnsi="Calibri" w:cs="Times New Roman"/>
                <w:b/>
                <w:bCs/>
                <w:color w:val="000000"/>
                <w:sz w:val="23"/>
                <w:szCs w:val="23"/>
                <w:lang w:eastAsia="en-GB"/>
              </w:rPr>
              <w:t>5</w:t>
            </w:r>
            <w:r w:rsidR="00253102" w:rsidRPr="00F6716D">
              <w:rPr>
                <w:rFonts w:ascii="Calibri" w:eastAsia="Times New Roman" w:hAnsi="Calibri" w:cs="Times New Roman"/>
                <w:b/>
                <w:bCs/>
                <w:color w:val="000000"/>
                <w:sz w:val="23"/>
                <w:szCs w:val="23"/>
                <w:lang w:eastAsia="en-GB"/>
              </w:rPr>
              <w:t>,</w:t>
            </w:r>
            <w:r w:rsidRPr="00F6716D">
              <w:rPr>
                <w:rFonts w:ascii="Calibri" w:eastAsia="Times New Roman" w:hAnsi="Calibri" w:cs="Times New Roman"/>
                <w:b/>
                <w:bCs/>
                <w:color w:val="000000"/>
                <w:sz w:val="23"/>
                <w:szCs w:val="23"/>
                <w:lang w:eastAsia="en-GB"/>
              </w:rPr>
              <w:t>272</w:t>
            </w:r>
            <w:r w:rsidR="00253102" w:rsidRPr="00F6716D">
              <w:rPr>
                <w:rFonts w:ascii="Calibri" w:eastAsia="Times New Roman" w:hAnsi="Calibri" w:cs="Times New Roman"/>
                <w:b/>
                <w:bCs/>
                <w:color w:val="000000"/>
                <w:sz w:val="23"/>
                <w:szCs w:val="23"/>
                <w:lang w:eastAsia="en-GB"/>
              </w:rPr>
              <w:t>,413</w:t>
            </w:r>
          </w:p>
        </w:tc>
      </w:tr>
    </w:tbl>
    <w:p w:rsidR="00A61987" w:rsidRPr="003F2B4F" w:rsidRDefault="003B045F" w:rsidP="003F2B4F">
      <w:pPr>
        <w:spacing w:after="0" w:line="240" w:lineRule="auto"/>
        <w:jc w:val="both"/>
        <w:rPr>
          <w:rFonts w:ascii="Calibri" w:hAnsi="Calibri"/>
          <w:sz w:val="24"/>
          <w:szCs w:val="24"/>
        </w:rPr>
      </w:pPr>
      <w:r w:rsidRPr="003F2B4F">
        <w:rPr>
          <w:rFonts w:ascii="Calibri" w:hAnsi="Calibri"/>
          <w:sz w:val="24"/>
          <w:szCs w:val="24"/>
        </w:rPr>
        <w:t>*</w:t>
      </w:r>
      <w:r w:rsidR="0051078D" w:rsidRPr="003F2B4F">
        <w:rPr>
          <w:rFonts w:ascii="Calibri" w:hAnsi="Calibri"/>
          <w:sz w:val="24"/>
          <w:szCs w:val="24"/>
        </w:rPr>
        <w:t>£4</w:t>
      </w:r>
      <w:r w:rsidR="006C79B3" w:rsidRPr="003F2B4F">
        <w:rPr>
          <w:rFonts w:ascii="Calibri" w:hAnsi="Calibri"/>
          <w:sz w:val="24"/>
          <w:szCs w:val="24"/>
        </w:rPr>
        <w:t>,</w:t>
      </w:r>
      <w:r w:rsidR="0051078D" w:rsidRPr="003F2B4F">
        <w:rPr>
          <w:rFonts w:ascii="Calibri" w:hAnsi="Calibri"/>
          <w:sz w:val="24"/>
          <w:szCs w:val="24"/>
        </w:rPr>
        <w:t>286</w:t>
      </w:r>
      <w:r w:rsidR="006C79B3" w:rsidRPr="003F2B4F">
        <w:rPr>
          <w:rFonts w:ascii="Calibri" w:hAnsi="Calibri"/>
          <w:sz w:val="24"/>
          <w:szCs w:val="24"/>
        </w:rPr>
        <w:t xml:space="preserve">,067 </w:t>
      </w:r>
      <w:r w:rsidR="0051078D" w:rsidRPr="003F2B4F">
        <w:rPr>
          <w:rFonts w:ascii="Calibri" w:hAnsi="Calibri"/>
          <w:sz w:val="24"/>
          <w:szCs w:val="24"/>
        </w:rPr>
        <w:t xml:space="preserve">is the estimated balance at 22/23 which </w:t>
      </w:r>
      <w:r w:rsidR="006C79B3" w:rsidRPr="003F2B4F">
        <w:rPr>
          <w:rFonts w:ascii="Calibri" w:hAnsi="Calibri"/>
          <w:sz w:val="24"/>
          <w:szCs w:val="24"/>
        </w:rPr>
        <w:t xml:space="preserve">relates to Community Infrastructure Levy (CIL) </w:t>
      </w:r>
      <w:r w:rsidR="0051078D" w:rsidRPr="003F2B4F">
        <w:rPr>
          <w:rFonts w:ascii="Calibri" w:hAnsi="Calibri"/>
          <w:sz w:val="24"/>
          <w:szCs w:val="24"/>
        </w:rPr>
        <w:t xml:space="preserve">and is </w:t>
      </w:r>
      <w:r w:rsidR="006C79B3" w:rsidRPr="003F2B4F">
        <w:rPr>
          <w:rFonts w:ascii="Calibri" w:hAnsi="Calibri"/>
          <w:sz w:val="24"/>
          <w:szCs w:val="24"/>
        </w:rPr>
        <w:t>therefore ring fenced for schemes relating to infrastructure.</w:t>
      </w:r>
    </w:p>
    <w:p w:rsidR="00253102" w:rsidRDefault="00253102" w:rsidP="003F2B4F">
      <w:pPr>
        <w:spacing w:after="0" w:line="240" w:lineRule="auto"/>
        <w:jc w:val="both"/>
        <w:rPr>
          <w:rFonts w:ascii="Calibri" w:hAnsi="Calibri"/>
          <w:b/>
          <w:sz w:val="24"/>
          <w:szCs w:val="24"/>
        </w:rPr>
      </w:pPr>
    </w:p>
    <w:p w:rsidR="00F6716D" w:rsidRPr="003F2B4F" w:rsidRDefault="00F6716D" w:rsidP="003F2B4F">
      <w:pPr>
        <w:spacing w:after="0" w:line="240" w:lineRule="auto"/>
        <w:jc w:val="both"/>
        <w:rPr>
          <w:rFonts w:ascii="Calibri" w:hAnsi="Calibri"/>
          <w:b/>
          <w:sz w:val="24"/>
          <w:szCs w:val="24"/>
        </w:rPr>
      </w:pPr>
    </w:p>
    <w:p w:rsidR="006C79B3" w:rsidRPr="003F2B4F" w:rsidRDefault="003B045F" w:rsidP="003F2B4F">
      <w:pPr>
        <w:spacing w:after="0" w:line="240" w:lineRule="auto"/>
        <w:jc w:val="both"/>
        <w:rPr>
          <w:rFonts w:ascii="Calibri" w:hAnsi="Calibri"/>
          <w:b/>
          <w:sz w:val="24"/>
          <w:szCs w:val="24"/>
        </w:rPr>
      </w:pPr>
      <w:bookmarkStart w:id="0" w:name="_GoBack"/>
      <w:bookmarkEnd w:id="0"/>
      <w:r w:rsidRPr="003F2B4F">
        <w:rPr>
          <w:rFonts w:ascii="Calibri" w:hAnsi="Calibri"/>
          <w:b/>
          <w:sz w:val="24"/>
          <w:szCs w:val="24"/>
        </w:rPr>
        <w:lastRenderedPageBreak/>
        <w:t>Borrowing</w:t>
      </w:r>
      <w:r w:rsidR="007E2069" w:rsidRPr="003F2B4F">
        <w:rPr>
          <w:rFonts w:ascii="Calibri" w:hAnsi="Calibri"/>
          <w:b/>
          <w:sz w:val="24"/>
          <w:szCs w:val="24"/>
        </w:rPr>
        <w:t xml:space="preserve"> </w:t>
      </w:r>
      <w:r w:rsidR="00F6716D">
        <w:rPr>
          <w:rFonts w:ascii="Calibri" w:hAnsi="Calibri"/>
          <w:b/>
          <w:sz w:val="24"/>
          <w:szCs w:val="24"/>
        </w:rPr>
        <w:t>R</w:t>
      </w:r>
      <w:r w:rsidR="007E2069" w:rsidRPr="003F2B4F">
        <w:rPr>
          <w:rFonts w:ascii="Calibri" w:hAnsi="Calibri"/>
          <w:b/>
          <w:sz w:val="24"/>
          <w:szCs w:val="24"/>
        </w:rPr>
        <w:t xml:space="preserve">equirements within </w:t>
      </w:r>
      <w:r w:rsidR="00F6716D">
        <w:rPr>
          <w:rFonts w:ascii="Calibri" w:hAnsi="Calibri"/>
          <w:b/>
          <w:sz w:val="24"/>
          <w:szCs w:val="24"/>
        </w:rPr>
        <w:t>C</w:t>
      </w:r>
      <w:r w:rsidR="007E2069" w:rsidRPr="003F2B4F">
        <w:rPr>
          <w:rFonts w:ascii="Calibri" w:hAnsi="Calibri"/>
          <w:b/>
          <w:sz w:val="24"/>
          <w:szCs w:val="24"/>
        </w:rPr>
        <w:t xml:space="preserve">urrent </w:t>
      </w:r>
      <w:r w:rsidR="00F6716D">
        <w:rPr>
          <w:rFonts w:ascii="Calibri" w:hAnsi="Calibri"/>
          <w:b/>
          <w:sz w:val="24"/>
          <w:szCs w:val="24"/>
        </w:rPr>
        <w:t>A</w:t>
      </w:r>
      <w:r w:rsidR="007E2069" w:rsidRPr="003F2B4F">
        <w:rPr>
          <w:rFonts w:ascii="Calibri" w:hAnsi="Calibri"/>
          <w:b/>
          <w:sz w:val="24"/>
          <w:szCs w:val="24"/>
        </w:rPr>
        <w:t>pproved Capital Programme</w:t>
      </w:r>
    </w:p>
    <w:p w:rsidR="00F6716D" w:rsidRDefault="00F6716D" w:rsidP="003F2B4F">
      <w:pPr>
        <w:spacing w:after="0" w:line="240" w:lineRule="auto"/>
        <w:jc w:val="both"/>
        <w:rPr>
          <w:rFonts w:ascii="Calibri" w:hAnsi="Calibri"/>
          <w:sz w:val="24"/>
          <w:szCs w:val="24"/>
        </w:rPr>
      </w:pPr>
    </w:p>
    <w:p w:rsidR="00552E59" w:rsidRPr="003F2B4F" w:rsidRDefault="00552E59" w:rsidP="003F2B4F">
      <w:pPr>
        <w:spacing w:after="0" w:line="240" w:lineRule="auto"/>
        <w:jc w:val="both"/>
        <w:rPr>
          <w:rFonts w:ascii="Calibri" w:hAnsi="Calibri"/>
          <w:b/>
          <w:sz w:val="24"/>
          <w:szCs w:val="24"/>
        </w:rPr>
      </w:pPr>
      <w:r w:rsidRPr="003F2B4F">
        <w:rPr>
          <w:rFonts w:ascii="Calibri" w:hAnsi="Calibri"/>
          <w:sz w:val="24"/>
          <w:szCs w:val="24"/>
        </w:rPr>
        <w:t xml:space="preserve">In order to fully finance the Capital Programme every year an element of borrowing is required where capital resources are not available. As above, the total borrowing over the life of this MTFP amounts to an estimated £8.1m within the current approved capital programme. </w:t>
      </w:r>
    </w:p>
    <w:p w:rsidR="00F6716D" w:rsidRDefault="00F6716D" w:rsidP="003F2B4F">
      <w:pPr>
        <w:spacing w:after="0" w:line="240" w:lineRule="auto"/>
        <w:jc w:val="both"/>
        <w:rPr>
          <w:rFonts w:ascii="Calibri" w:hAnsi="Calibri"/>
          <w:sz w:val="24"/>
          <w:szCs w:val="24"/>
        </w:rPr>
      </w:pPr>
    </w:p>
    <w:p w:rsidR="00552E59" w:rsidRPr="003F2B4F" w:rsidRDefault="00552E59" w:rsidP="003F2B4F">
      <w:pPr>
        <w:spacing w:after="0" w:line="240" w:lineRule="auto"/>
        <w:jc w:val="both"/>
        <w:rPr>
          <w:rFonts w:ascii="Calibri" w:hAnsi="Calibri"/>
          <w:sz w:val="24"/>
          <w:szCs w:val="24"/>
        </w:rPr>
      </w:pPr>
      <w:r w:rsidRPr="003F2B4F">
        <w:rPr>
          <w:rFonts w:ascii="Calibri" w:hAnsi="Calibri"/>
          <w:sz w:val="24"/>
          <w:szCs w:val="24"/>
        </w:rPr>
        <w:t>Within the £8.1m, short asset lives total borrowing of £2.8m, which equates to around £400k per annum in MRP charges. This is charged in the year following capital expenditure and continues until the borrowing is repaid. The £5.3m balance of borrowing has been allocated to longer life assets (where the life expectancy is approximately 50 years) and the annual charge to revenue for these items is £106k. Should the policy at section 1.6 be adopted, this would release an additional £1.2m to replace the borrowing for short life assets, reducing the charge to revenue by £171k per annum.</w:t>
      </w:r>
    </w:p>
    <w:p w:rsidR="007C704F" w:rsidRPr="003F2B4F" w:rsidRDefault="007C704F" w:rsidP="003F2B4F">
      <w:pPr>
        <w:spacing w:after="0" w:line="240" w:lineRule="auto"/>
        <w:jc w:val="both"/>
        <w:rPr>
          <w:rFonts w:ascii="Calibri" w:hAnsi="Calibri"/>
          <w:sz w:val="24"/>
          <w:szCs w:val="24"/>
        </w:rPr>
      </w:pPr>
    </w:p>
    <w:sectPr w:rsidR="007C704F" w:rsidRPr="003F2B4F" w:rsidSect="003F2B4F">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029E"/>
    <w:multiLevelType w:val="hybridMultilevel"/>
    <w:tmpl w:val="2E94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B22899"/>
    <w:multiLevelType w:val="multilevel"/>
    <w:tmpl w:val="608442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5794232"/>
    <w:multiLevelType w:val="hybridMultilevel"/>
    <w:tmpl w:val="615A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487181"/>
    <w:multiLevelType w:val="hybridMultilevel"/>
    <w:tmpl w:val="530669F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35C51103"/>
    <w:multiLevelType w:val="hybridMultilevel"/>
    <w:tmpl w:val="86AE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DB6778"/>
    <w:multiLevelType w:val="hybridMultilevel"/>
    <w:tmpl w:val="6D48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966EF8"/>
    <w:multiLevelType w:val="hybridMultilevel"/>
    <w:tmpl w:val="CE32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7F642D"/>
    <w:multiLevelType w:val="hybridMultilevel"/>
    <w:tmpl w:val="97CA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C36A04"/>
    <w:multiLevelType w:val="hybridMultilevel"/>
    <w:tmpl w:val="F916783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nsid w:val="5CE6342C"/>
    <w:multiLevelType w:val="hybridMultilevel"/>
    <w:tmpl w:val="782C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B8455A"/>
    <w:multiLevelType w:val="hybridMultilevel"/>
    <w:tmpl w:val="BF42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D159FA"/>
    <w:multiLevelType w:val="hybridMultilevel"/>
    <w:tmpl w:val="26CE1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EED299C"/>
    <w:multiLevelType w:val="hybridMultilevel"/>
    <w:tmpl w:val="0F3C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1"/>
  </w:num>
  <w:num w:numId="5">
    <w:abstractNumId w:val="12"/>
  </w:num>
  <w:num w:numId="6">
    <w:abstractNumId w:val="2"/>
  </w:num>
  <w:num w:numId="7">
    <w:abstractNumId w:val="6"/>
  </w:num>
  <w:num w:numId="8">
    <w:abstractNumId w:val="5"/>
  </w:num>
  <w:num w:numId="9">
    <w:abstractNumId w:val="7"/>
  </w:num>
  <w:num w:numId="10">
    <w:abstractNumId w:val="4"/>
  </w:num>
  <w:num w:numId="11">
    <w:abstractNumId w:val="1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71"/>
    <w:rsid w:val="000028F1"/>
    <w:rsid w:val="00002EF0"/>
    <w:rsid w:val="00006B94"/>
    <w:rsid w:val="00007F5C"/>
    <w:rsid w:val="00016F6F"/>
    <w:rsid w:val="00045D8E"/>
    <w:rsid w:val="000476E2"/>
    <w:rsid w:val="00051476"/>
    <w:rsid w:val="0005288D"/>
    <w:rsid w:val="00052915"/>
    <w:rsid w:val="00055CB1"/>
    <w:rsid w:val="00083187"/>
    <w:rsid w:val="000978FE"/>
    <w:rsid w:val="00097ED6"/>
    <w:rsid w:val="000A345C"/>
    <w:rsid w:val="001132D2"/>
    <w:rsid w:val="00113A8F"/>
    <w:rsid w:val="00121CF1"/>
    <w:rsid w:val="00130B5E"/>
    <w:rsid w:val="00135C26"/>
    <w:rsid w:val="00142CF4"/>
    <w:rsid w:val="00151ABF"/>
    <w:rsid w:val="001B1D8F"/>
    <w:rsid w:val="001B3769"/>
    <w:rsid w:val="001B7B18"/>
    <w:rsid w:val="001C0AF2"/>
    <w:rsid w:val="001C6B7E"/>
    <w:rsid w:val="001D117A"/>
    <w:rsid w:val="001F62A3"/>
    <w:rsid w:val="00201B2D"/>
    <w:rsid w:val="00223C95"/>
    <w:rsid w:val="002306F6"/>
    <w:rsid w:val="002443AB"/>
    <w:rsid w:val="00244FE2"/>
    <w:rsid w:val="00253102"/>
    <w:rsid w:val="002748C5"/>
    <w:rsid w:val="00277F6B"/>
    <w:rsid w:val="00280527"/>
    <w:rsid w:val="002A325F"/>
    <w:rsid w:val="002A3EDB"/>
    <w:rsid w:val="002A76F8"/>
    <w:rsid w:val="002B72D8"/>
    <w:rsid w:val="002C00B2"/>
    <w:rsid w:val="002C3393"/>
    <w:rsid w:val="002D32D0"/>
    <w:rsid w:val="002F2CC4"/>
    <w:rsid w:val="0034257A"/>
    <w:rsid w:val="003438BD"/>
    <w:rsid w:val="0035717A"/>
    <w:rsid w:val="0038777B"/>
    <w:rsid w:val="0039493F"/>
    <w:rsid w:val="00395B09"/>
    <w:rsid w:val="003A018D"/>
    <w:rsid w:val="003A0FD2"/>
    <w:rsid w:val="003B02E5"/>
    <w:rsid w:val="003B045F"/>
    <w:rsid w:val="003C7650"/>
    <w:rsid w:val="003E09AE"/>
    <w:rsid w:val="003E7551"/>
    <w:rsid w:val="003E777F"/>
    <w:rsid w:val="003F2B4F"/>
    <w:rsid w:val="003F5E1E"/>
    <w:rsid w:val="003F7C72"/>
    <w:rsid w:val="00443EA6"/>
    <w:rsid w:val="00445F5C"/>
    <w:rsid w:val="00457E64"/>
    <w:rsid w:val="00496902"/>
    <w:rsid w:val="004A4BA6"/>
    <w:rsid w:val="004B183B"/>
    <w:rsid w:val="004B6B27"/>
    <w:rsid w:val="004B7A05"/>
    <w:rsid w:val="004C74AC"/>
    <w:rsid w:val="004D46E2"/>
    <w:rsid w:val="004E1650"/>
    <w:rsid w:val="004E4D60"/>
    <w:rsid w:val="004E53C3"/>
    <w:rsid w:val="00504E12"/>
    <w:rsid w:val="00505957"/>
    <w:rsid w:val="0051078D"/>
    <w:rsid w:val="00520EF9"/>
    <w:rsid w:val="00533524"/>
    <w:rsid w:val="00545159"/>
    <w:rsid w:val="00552E59"/>
    <w:rsid w:val="00573D45"/>
    <w:rsid w:val="00584747"/>
    <w:rsid w:val="005B22BC"/>
    <w:rsid w:val="005D0B6F"/>
    <w:rsid w:val="005D2319"/>
    <w:rsid w:val="005F6D58"/>
    <w:rsid w:val="00602F50"/>
    <w:rsid w:val="0062089B"/>
    <w:rsid w:val="00624D71"/>
    <w:rsid w:val="00626A26"/>
    <w:rsid w:val="00640188"/>
    <w:rsid w:val="00654815"/>
    <w:rsid w:val="00654D2B"/>
    <w:rsid w:val="00664DEA"/>
    <w:rsid w:val="0067139D"/>
    <w:rsid w:val="00682948"/>
    <w:rsid w:val="00687352"/>
    <w:rsid w:val="00694609"/>
    <w:rsid w:val="006A2A88"/>
    <w:rsid w:val="006A59B0"/>
    <w:rsid w:val="006B0144"/>
    <w:rsid w:val="006C79B3"/>
    <w:rsid w:val="006E6311"/>
    <w:rsid w:val="006F6AE4"/>
    <w:rsid w:val="00706767"/>
    <w:rsid w:val="00714ACE"/>
    <w:rsid w:val="00715B14"/>
    <w:rsid w:val="0072213D"/>
    <w:rsid w:val="00727D50"/>
    <w:rsid w:val="0073084F"/>
    <w:rsid w:val="00742A98"/>
    <w:rsid w:val="007430EE"/>
    <w:rsid w:val="00745178"/>
    <w:rsid w:val="0077735B"/>
    <w:rsid w:val="0078035F"/>
    <w:rsid w:val="007809E3"/>
    <w:rsid w:val="007C2707"/>
    <w:rsid w:val="007C5DC3"/>
    <w:rsid w:val="007C704F"/>
    <w:rsid w:val="007E2069"/>
    <w:rsid w:val="007F7EC8"/>
    <w:rsid w:val="0080089F"/>
    <w:rsid w:val="00803206"/>
    <w:rsid w:val="00820AD0"/>
    <w:rsid w:val="00824D92"/>
    <w:rsid w:val="00827A04"/>
    <w:rsid w:val="00831A30"/>
    <w:rsid w:val="008678F9"/>
    <w:rsid w:val="008944CD"/>
    <w:rsid w:val="008A2766"/>
    <w:rsid w:val="008A548B"/>
    <w:rsid w:val="008B1D6E"/>
    <w:rsid w:val="008D40F0"/>
    <w:rsid w:val="008F02A6"/>
    <w:rsid w:val="00910883"/>
    <w:rsid w:val="00911564"/>
    <w:rsid w:val="009124B0"/>
    <w:rsid w:val="00936BD4"/>
    <w:rsid w:val="00960E55"/>
    <w:rsid w:val="0097430C"/>
    <w:rsid w:val="00977E5F"/>
    <w:rsid w:val="00982C78"/>
    <w:rsid w:val="0098681D"/>
    <w:rsid w:val="00992E1B"/>
    <w:rsid w:val="009A1833"/>
    <w:rsid w:val="009A3CAC"/>
    <w:rsid w:val="009D0863"/>
    <w:rsid w:val="009D59F0"/>
    <w:rsid w:val="009E081C"/>
    <w:rsid w:val="009E76C3"/>
    <w:rsid w:val="00A11A7B"/>
    <w:rsid w:val="00A2421E"/>
    <w:rsid w:val="00A41288"/>
    <w:rsid w:val="00A42075"/>
    <w:rsid w:val="00A43DB4"/>
    <w:rsid w:val="00A50396"/>
    <w:rsid w:val="00A55D19"/>
    <w:rsid w:val="00A61987"/>
    <w:rsid w:val="00A64F21"/>
    <w:rsid w:val="00A67DD7"/>
    <w:rsid w:val="00A70807"/>
    <w:rsid w:val="00A8114C"/>
    <w:rsid w:val="00AA086E"/>
    <w:rsid w:val="00AA0A48"/>
    <w:rsid w:val="00AB7E02"/>
    <w:rsid w:val="00AC2E9C"/>
    <w:rsid w:val="00AE02D0"/>
    <w:rsid w:val="00AF2DDE"/>
    <w:rsid w:val="00B058A9"/>
    <w:rsid w:val="00B1766D"/>
    <w:rsid w:val="00B24C92"/>
    <w:rsid w:val="00B305E9"/>
    <w:rsid w:val="00B35753"/>
    <w:rsid w:val="00B43B04"/>
    <w:rsid w:val="00B5272F"/>
    <w:rsid w:val="00BB023D"/>
    <w:rsid w:val="00BC15D8"/>
    <w:rsid w:val="00BF1736"/>
    <w:rsid w:val="00BF5020"/>
    <w:rsid w:val="00BF531E"/>
    <w:rsid w:val="00C01540"/>
    <w:rsid w:val="00C035DD"/>
    <w:rsid w:val="00C21093"/>
    <w:rsid w:val="00C2127D"/>
    <w:rsid w:val="00C23056"/>
    <w:rsid w:val="00C34E7D"/>
    <w:rsid w:val="00C35438"/>
    <w:rsid w:val="00C3597C"/>
    <w:rsid w:val="00C471F1"/>
    <w:rsid w:val="00C546BA"/>
    <w:rsid w:val="00C80158"/>
    <w:rsid w:val="00CC1D5F"/>
    <w:rsid w:val="00CC7E6E"/>
    <w:rsid w:val="00CD01FA"/>
    <w:rsid w:val="00CD1B82"/>
    <w:rsid w:val="00CF569D"/>
    <w:rsid w:val="00D0162D"/>
    <w:rsid w:val="00D16F72"/>
    <w:rsid w:val="00D22CB4"/>
    <w:rsid w:val="00D65949"/>
    <w:rsid w:val="00D82073"/>
    <w:rsid w:val="00DA7A08"/>
    <w:rsid w:val="00E03007"/>
    <w:rsid w:val="00E11B70"/>
    <w:rsid w:val="00E377A5"/>
    <w:rsid w:val="00E43CD0"/>
    <w:rsid w:val="00E45AC6"/>
    <w:rsid w:val="00E64D9A"/>
    <w:rsid w:val="00E87F6A"/>
    <w:rsid w:val="00E96207"/>
    <w:rsid w:val="00EA5734"/>
    <w:rsid w:val="00ED763E"/>
    <w:rsid w:val="00EE59B5"/>
    <w:rsid w:val="00EF3EFF"/>
    <w:rsid w:val="00F25868"/>
    <w:rsid w:val="00F3002A"/>
    <w:rsid w:val="00F35748"/>
    <w:rsid w:val="00F406B5"/>
    <w:rsid w:val="00F4621B"/>
    <w:rsid w:val="00F56549"/>
    <w:rsid w:val="00F66BDC"/>
    <w:rsid w:val="00F6716D"/>
    <w:rsid w:val="00F712BC"/>
    <w:rsid w:val="00F820ED"/>
    <w:rsid w:val="00F84771"/>
    <w:rsid w:val="00F878BD"/>
    <w:rsid w:val="00F97021"/>
    <w:rsid w:val="00FB3391"/>
    <w:rsid w:val="00FB5497"/>
    <w:rsid w:val="00FD1E1D"/>
    <w:rsid w:val="00FD418D"/>
    <w:rsid w:val="00FF0E95"/>
    <w:rsid w:val="00FF12AD"/>
    <w:rsid w:val="00FF3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F6B"/>
    <w:pPr>
      <w:ind w:left="720"/>
      <w:contextualSpacing/>
    </w:pPr>
  </w:style>
  <w:style w:type="table" w:styleId="TableGrid">
    <w:name w:val="Table Grid"/>
    <w:basedOn w:val="TableNormal"/>
    <w:uiPriority w:val="59"/>
    <w:rsid w:val="00800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7D50"/>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3E09AE"/>
    <w:pPr>
      <w:spacing w:after="120"/>
      <w:ind w:left="283"/>
    </w:pPr>
  </w:style>
  <w:style w:type="character" w:customStyle="1" w:styleId="BodyTextIndentChar">
    <w:name w:val="Body Text Indent Char"/>
    <w:basedOn w:val="DefaultParagraphFont"/>
    <w:link w:val="BodyTextIndent"/>
    <w:uiPriority w:val="99"/>
    <w:rsid w:val="003E09AE"/>
  </w:style>
  <w:style w:type="character" w:styleId="CommentReference">
    <w:name w:val="annotation reference"/>
    <w:basedOn w:val="DefaultParagraphFont"/>
    <w:uiPriority w:val="99"/>
    <w:semiHidden/>
    <w:unhideWhenUsed/>
    <w:rsid w:val="0005288D"/>
    <w:rPr>
      <w:sz w:val="16"/>
      <w:szCs w:val="16"/>
    </w:rPr>
  </w:style>
  <w:style w:type="paragraph" w:styleId="CommentText">
    <w:name w:val="annotation text"/>
    <w:basedOn w:val="Normal"/>
    <w:link w:val="CommentTextChar"/>
    <w:uiPriority w:val="99"/>
    <w:semiHidden/>
    <w:unhideWhenUsed/>
    <w:rsid w:val="0005288D"/>
    <w:pPr>
      <w:spacing w:line="240" w:lineRule="auto"/>
    </w:pPr>
    <w:rPr>
      <w:sz w:val="20"/>
      <w:szCs w:val="20"/>
    </w:rPr>
  </w:style>
  <w:style w:type="character" w:customStyle="1" w:styleId="CommentTextChar">
    <w:name w:val="Comment Text Char"/>
    <w:basedOn w:val="DefaultParagraphFont"/>
    <w:link w:val="CommentText"/>
    <w:uiPriority w:val="99"/>
    <w:semiHidden/>
    <w:rsid w:val="0005288D"/>
    <w:rPr>
      <w:sz w:val="20"/>
      <w:szCs w:val="20"/>
    </w:rPr>
  </w:style>
  <w:style w:type="paragraph" w:styleId="CommentSubject">
    <w:name w:val="annotation subject"/>
    <w:basedOn w:val="CommentText"/>
    <w:next w:val="CommentText"/>
    <w:link w:val="CommentSubjectChar"/>
    <w:uiPriority w:val="99"/>
    <w:semiHidden/>
    <w:unhideWhenUsed/>
    <w:rsid w:val="0005288D"/>
    <w:rPr>
      <w:b/>
      <w:bCs/>
    </w:rPr>
  </w:style>
  <w:style w:type="character" w:customStyle="1" w:styleId="CommentSubjectChar">
    <w:name w:val="Comment Subject Char"/>
    <w:basedOn w:val="CommentTextChar"/>
    <w:link w:val="CommentSubject"/>
    <w:uiPriority w:val="99"/>
    <w:semiHidden/>
    <w:rsid w:val="0005288D"/>
    <w:rPr>
      <w:b/>
      <w:bCs/>
      <w:sz w:val="20"/>
      <w:szCs w:val="20"/>
    </w:rPr>
  </w:style>
  <w:style w:type="paragraph" w:styleId="BalloonText">
    <w:name w:val="Balloon Text"/>
    <w:basedOn w:val="Normal"/>
    <w:link w:val="BalloonTextChar"/>
    <w:uiPriority w:val="99"/>
    <w:semiHidden/>
    <w:unhideWhenUsed/>
    <w:rsid w:val="0005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8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F6B"/>
    <w:pPr>
      <w:ind w:left="720"/>
      <w:contextualSpacing/>
    </w:pPr>
  </w:style>
  <w:style w:type="table" w:styleId="TableGrid">
    <w:name w:val="Table Grid"/>
    <w:basedOn w:val="TableNormal"/>
    <w:uiPriority w:val="59"/>
    <w:rsid w:val="00800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7D50"/>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3E09AE"/>
    <w:pPr>
      <w:spacing w:after="120"/>
      <w:ind w:left="283"/>
    </w:pPr>
  </w:style>
  <w:style w:type="character" w:customStyle="1" w:styleId="BodyTextIndentChar">
    <w:name w:val="Body Text Indent Char"/>
    <w:basedOn w:val="DefaultParagraphFont"/>
    <w:link w:val="BodyTextIndent"/>
    <w:uiPriority w:val="99"/>
    <w:rsid w:val="003E09AE"/>
  </w:style>
  <w:style w:type="character" w:styleId="CommentReference">
    <w:name w:val="annotation reference"/>
    <w:basedOn w:val="DefaultParagraphFont"/>
    <w:uiPriority w:val="99"/>
    <w:semiHidden/>
    <w:unhideWhenUsed/>
    <w:rsid w:val="0005288D"/>
    <w:rPr>
      <w:sz w:val="16"/>
      <w:szCs w:val="16"/>
    </w:rPr>
  </w:style>
  <w:style w:type="paragraph" w:styleId="CommentText">
    <w:name w:val="annotation text"/>
    <w:basedOn w:val="Normal"/>
    <w:link w:val="CommentTextChar"/>
    <w:uiPriority w:val="99"/>
    <w:semiHidden/>
    <w:unhideWhenUsed/>
    <w:rsid w:val="0005288D"/>
    <w:pPr>
      <w:spacing w:line="240" w:lineRule="auto"/>
    </w:pPr>
    <w:rPr>
      <w:sz w:val="20"/>
      <w:szCs w:val="20"/>
    </w:rPr>
  </w:style>
  <w:style w:type="character" w:customStyle="1" w:styleId="CommentTextChar">
    <w:name w:val="Comment Text Char"/>
    <w:basedOn w:val="DefaultParagraphFont"/>
    <w:link w:val="CommentText"/>
    <w:uiPriority w:val="99"/>
    <w:semiHidden/>
    <w:rsid w:val="0005288D"/>
    <w:rPr>
      <w:sz w:val="20"/>
      <w:szCs w:val="20"/>
    </w:rPr>
  </w:style>
  <w:style w:type="paragraph" w:styleId="CommentSubject">
    <w:name w:val="annotation subject"/>
    <w:basedOn w:val="CommentText"/>
    <w:next w:val="CommentText"/>
    <w:link w:val="CommentSubjectChar"/>
    <w:uiPriority w:val="99"/>
    <w:semiHidden/>
    <w:unhideWhenUsed/>
    <w:rsid w:val="0005288D"/>
    <w:rPr>
      <w:b/>
      <w:bCs/>
    </w:rPr>
  </w:style>
  <w:style w:type="character" w:customStyle="1" w:styleId="CommentSubjectChar">
    <w:name w:val="Comment Subject Char"/>
    <w:basedOn w:val="CommentTextChar"/>
    <w:link w:val="CommentSubject"/>
    <w:uiPriority w:val="99"/>
    <w:semiHidden/>
    <w:rsid w:val="0005288D"/>
    <w:rPr>
      <w:b/>
      <w:bCs/>
      <w:sz w:val="20"/>
      <w:szCs w:val="20"/>
    </w:rPr>
  </w:style>
  <w:style w:type="paragraph" w:styleId="BalloonText">
    <w:name w:val="Balloon Text"/>
    <w:basedOn w:val="Normal"/>
    <w:link w:val="BalloonTextChar"/>
    <w:uiPriority w:val="99"/>
    <w:semiHidden/>
    <w:unhideWhenUsed/>
    <w:rsid w:val="0005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020313">
      <w:bodyDiv w:val="1"/>
      <w:marLeft w:val="0"/>
      <w:marRight w:val="0"/>
      <w:marTop w:val="0"/>
      <w:marBottom w:val="0"/>
      <w:divBdr>
        <w:top w:val="none" w:sz="0" w:space="0" w:color="auto"/>
        <w:left w:val="none" w:sz="0" w:space="0" w:color="auto"/>
        <w:bottom w:val="none" w:sz="0" w:space="0" w:color="auto"/>
        <w:right w:val="none" w:sz="0" w:space="0" w:color="auto"/>
      </w:divBdr>
    </w:div>
    <w:div w:id="1343585378">
      <w:bodyDiv w:val="1"/>
      <w:marLeft w:val="0"/>
      <w:marRight w:val="0"/>
      <w:marTop w:val="0"/>
      <w:marBottom w:val="0"/>
      <w:divBdr>
        <w:top w:val="none" w:sz="0" w:space="0" w:color="auto"/>
        <w:left w:val="none" w:sz="0" w:space="0" w:color="auto"/>
        <w:bottom w:val="none" w:sz="0" w:space="0" w:color="auto"/>
        <w:right w:val="none" w:sz="0" w:space="0" w:color="auto"/>
      </w:divBdr>
    </w:div>
    <w:div w:id="1480271593">
      <w:bodyDiv w:val="1"/>
      <w:marLeft w:val="0"/>
      <w:marRight w:val="0"/>
      <w:marTop w:val="0"/>
      <w:marBottom w:val="0"/>
      <w:divBdr>
        <w:top w:val="none" w:sz="0" w:space="0" w:color="auto"/>
        <w:left w:val="none" w:sz="0" w:space="0" w:color="auto"/>
        <w:bottom w:val="none" w:sz="0" w:space="0" w:color="auto"/>
        <w:right w:val="none" w:sz="0" w:space="0" w:color="auto"/>
      </w:divBdr>
    </w:div>
    <w:div w:id="160329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8D049-2295-4A39-A0DE-8403A0DA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14</Pages>
  <Words>6052</Words>
  <Characters>34502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NSDC</Company>
  <LinksUpToDate>false</LinksUpToDate>
  <CharactersWithSpaces>40474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nickw</dc:creator>
  <cp:lastModifiedBy>helenb</cp:lastModifiedBy>
  <cp:revision>5</cp:revision>
  <dcterms:created xsi:type="dcterms:W3CDTF">2019-02-25T09:23:00Z</dcterms:created>
  <dcterms:modified xsi:type="dcterms:W3CDTF">2019-02-27T12:45:00Z</dcterms:modified>
</cp:coreProperties>
</file>